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AD3" w:rsidRPr="009E633B" w:rsidRDefault="00876AD3" w:rsidP="00876AD3">
      <w:pPr>
        <w:jc w:val="center"/>
        <w:rPr>
          <w:rFonts w:cs="Calibri"/>
          <w:b/>
        </w:rPr>
      </w:pPr>
      <w:r w:rsidRPr="009E633B">
        <w:rPr>
          <w:rFonts w:cs="Calibri"/>
          <w:b/>
          <w:noProof/>
        </w:rPr>
        <w:drawing>
          <wp:inline distT="0" distB="0" distL="0" distR="0">
            <wp:extent cx="1300480" cy="1300480"/>
            <wp:effectExtent l="0" t="0" r="0" b="0"/>
            <wp:docPr id="3" name="Рисунок 3" descr="Palata_logo_Color Итог 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lata_logo_Color Итог м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D3" w:rsidRPr="009E633B" w:rsidRDefault="00876AD3" w:rsidP="00876AD3">
      <w:pPr>
        <w:jc w:val="center"/>
        <w:rPr>
          <w:rFonts w:cs="Calibri"/>
          <w:b/>
        </w:rPr>
      </w:pPr>
    </w:p>
    <w:p w:rsidR="00876AD3" w:rsidRPr="00876AD3" w:rsidRDefault="00876AD3" w:rsidP="00876AD3">
      <w:pPr>
        <w:jc w:val="center"/>
        <w:rPr>
          <w:rFonts w:ascii="Calibri" w:hAnsi="Calibri" w:cs="Calibri"/>
          <w:b/>
          <w:color w:val="FF0000"/>
        </w:rPr>
      </w:pPr>
      <w:bookmarkStart w:id="0" w:name="_GoBack"/>
      <w:r w:rsidRPr="00876AD3">
        <w:rPr>
          <w:rFonts w:ascii="Calibri" w:hAnsi="Calibri" w:cs="Calibri"/>
          <w:b/>
          <w:color w:val="FF0000"/>
        </w:rPr>
        <w:t>ИНФОРМАЦИОННЫЙ ДАЙДЖЕСТ</w:t>
      </w:r>
    </w:p>
    <w:p w:rsidR="00876AD3" w:rsidRPr="00876AD3" w:rsidRDefault="00133AB2" w:rsidP="00876AD3">
      <w:pPr>
        <w:jc w:val="center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  <w:color w:val="FF0000"/>
        </w:rPr>
        <w:t>(период с 5 по 12 апреля 2026</w:t>
      </w:r>
      <w:r w:rsidR="00876AD3" w:rsidRPr="00876AD3">
        <w:rPr>
          <w:rFonts w:ascii="Calibri" w:hAnsi="Calibri" w:cs="Calibri"/>
          <w:b/>
          <w:color w:val="FF0000"/>
        </w:rPr>
        <w:t xml:space="preserve"> года)</w:t>
      </w:r>
    </w:p>
    <w:bookmarkEnd w:id="0"/>
    <w:p w:rsidR="00981167" w:rsidRPr="002C0D4B" w:rsidRDefault="00981167" w:rsidP="002C0D4B">
      <w:pPr>
        <w:jc w:val="both"/>
        <w:rPr>
          <w:rFonts w:ascii="Calibri" w:hAnsi="Calibri" w:cs="Calibri"/>
        </w:rPr>
      </w:pPr>
    </w:p>
    <w:p w:rsidR="00754133" w:rsidRPr="002C0D4B" w:rsidRDefault="00754133" w:rsidP="002C0D4B">
      <w:pPr>
        <w:jc w:val="both"/>
        <w:rPr>
          <w:rFonts w:ascii="Calibri" w:hAnsi="Calibri" w:cs="Calibri"/>
        </w:rPr>
      </w:pPr>
    </w:p>
    <w:p w:rsidR="008D1493" w:rsidRPr="002C0D4B" w:rsidRDefault="007A5383" w:rsidP="002C0D4B">
      <w:pPr>
        <w:jc w:val="both"/>
        <w:rPr>
          <w:rStyle w:val="a4"/>
          <w:rFonts w:ascii="Calibri" w:hAnsi="Calibri" w:cs="Calibri"/>
          <w:color w:val="FF0000"/>
        </w:rPr>
      </w:pPr>
      <w:r w:rsidRPr="002C0D4B">
        <w:rPr>
          <w:rFonts w:ascii="Calibri" w:hAnsi="Calibri" w:cs="Calibri"/>
          <w:b/>
          <w:color w:val="FF0000"/>
        </w:rPr>
        <w:t>ПРАВИТЕЛЬСТВО/СФ/ГД</w:t>
      </w:r>
    </w:p>
    <w:p w:rsidR="00E1062C" w:rsidRPr="002C0D4B" w:rsidRDefault="00E1062C" w:rsidP="002C0D4B">
      <w:pPr>
        <w:jc w:val="both"/>
        <w:rPr>
          <w:rStyle w:val="a4"/>
          <w:rFonts w:ascii="Calibri" w:hAnsi="Calibri" w:cs="Calibri"/>
        </w:rPr>
      </w:pPr>
    </w:p>
    <w:p w:rsidR="00E1062C" w:rsidRPr="00E1062C" w:rsidRDefault="00E1062C" w:rsidP="002C0D4B">
      <w:pPr>
        <w:jc w:val="both"/>
        <w:rPr>
          <w:rFonts w:ascii="Calibri" w:hAnsi="Calibri" w:cs="Calibri"/>
          <w:b/>
        </w:rPr>
      </w:pPr>
      <w:r w:rsidRPr="00E1062C">
        <w:rPr>
          <w:rFonts w:ascii="Calibri" w:hAnsi="Calibri" w:cs="Calibri"/>
          <w:b/>
        </w:rPr>
        <w:t>Путин поручил проанализировать причины низкой удовлетворенности медпомощью</w:t>
      </w:r>
    </w:p>
    <w:p w:rsidR="00E1062C" w:rsidRPr="002C0D4B" w:rsidRDefault="00E1062C" w:rsidP="002C0D4B">
      <w:pPr>
        <w:spacing w:before="100" w:beforeAutospacing="1" w:after="100" w:afterAutospacing="1"/>
        <w:jc w:val="both"/>
        <w:outlineLvl w:val="0"/>
        <w:rPr>
          <w:rFonts w:ascii="Calibri" w:hAnsi="Calibri" w:cs="Calibri"/>
        </w:rPr>
      </w:pPr>
      <w:r w:rsidRPr="00E1062C">
        <w:rPr>
          <w:rFonts w:ascii="Calibri" w:hAnsi="Calibri" w:cs="Calibri"/>
        </w:rPr>
        <w:t>Путин поручил изучить причины низкой удовлетворенности медпомощью в регионах</w:t>
      </w:r>
    </w:p>
    <w:p w:rsidR="00E1062C" w:rsidRPr="002C0D4B" w:rsidRDefault="00E1062C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  <w:b/>
          <w:bCs/>
        </w:rPr>
        <w:t>МОСКВА, 6 апр - РИА Новости.</w:t>
      </w:r>
      <w:r w:rsidRPr="002C0D4B">
        <w:rPr>
          <w:rFonts w:ascii="Calibri" w:hAnsi="Calibri" w:cs="Calibri"/>
        </w:rPr>
        <w:t xml:space="preserve"> Президент России Владимир Путин поручил проанализировать причины низкой удовлетворенности медицинской помощью в Карелии, на Камчатке, а также в Амурской, Владимирской, Ивановской, Костромской, Новгородской, Тверской, Челябинской областях и Еврейской автономной области. </w:t>
      </w:r>
    </w:p>
    <w:p w:rsidR="00E1062C" w:rsidRPr="002C0D4B" w:rsidRDefault="007578A1" w:rsidP="002C0D4B">
      <w:pPr>
        <w:jc w:val="both"/>
        <w:rPr>
          <w:rFonts w:ascii="Calibri" w:hAnsi="Calibri" w:cs="Calibri"/>
        </w:rPr>
      </w:pPr>
      <w:hyperlink r:id="rId6" w:tgtFrame="_blank" w:history="1">
        <w:r w:rsidR="00E1062C" w:rsidRPr="002C0D4B">
          <w:rPr>
            <w:rFonts w:ascii="Calibri" w:hAnsi="Calibri" w:cs="Calibri"/>
          </w:rPr>
          <w:t>Перечень</w:t>
        </w:r>
      </w:hyperlink>
      <w:r w:rsidR="00E1062C" w:rsidRPr="002C0D4B">
        <w:rPr>
          <w:rFonts w:ascii="Calibri" w:hAnsi="Calibri" w:cs="Calibri"/>
        </w:rPr>
        <w:t xml:space="preserve"> поручений по итогам совещания с членами правительства опубликован на сайте Кремля. Поручение дано кабмину совместно с исполнительными органами </w:t>
      </w:r>
      <w:hyperlink r:id="rId7" w:tgtFrame="_blank" w:history="1">
        <w:r w:rsidR="00E1062C" w:rsidRPr="002C0D4B">
          <w:rPr>
            <w:rFonts w:ascii="Calibri" w:hAnsi="Calibri" w:cs="Calibri"/>
          </w:rPr>
          <w:t>Республики Карелия</w:t>
        </w:r>
      </w:hyperlink>
      <w:r w:rsidR="00E1062C" w:rsidRPr="002C0D4B">
        <w:rPr>
          <w:rFonts w:ascii="Calibri" w:hAnsi="Calibri" w:cs="Calibri"/>
        </w:rPr>
        <w:t xml:space="preserve">, </w:t>
      </w:r>
      <w:hyperlink r:id="rId8" w:tgtFrame="_blank" w:history="1">
        <w:r w:rsidR="00E1062C" w:rsidRPr="002C0D4B">
          <w:rPr>
            <w:rFonts w:ascii="Calibri" w:hAnsi="Calibri" w:cs="Calibri"/>
          </w:rPr>
          <w:t>Камчатского края</w:t>
        </w:r>
      </w:hyperlink>
      <w:r w:rsidR="00E1062C" w:rsidRPr="002C0D4B">
        <w:rPr>
          <w:rFonts w:ascii="Calibri" w:hAnsi="Calibri" w:cs="Calibri"/>
        </w:rPr>
        <w:t xml:space="preserve">, Амурской, Владимирской, Ивановской, Костромской, Новгородской, Тверской, </w:t>
      </w:r>
      <w:hyperlink r:id="rId9" w:tgtFrame="_blank" w:history="1">
        <w:r w:rsidR="00E1062C" w:rsidRPr="002C0D4B">
          <w:rPr>
            <w:rFonts w:ascii="Calibri" w:hAnsi="Calibri" w:cs="Calibri"/>
          </w:rPr>
          <w:t>Челябинской областей</w:t>
        </w:r>
      </w:hyperlink>
      <w:r w:rsidR="00E1062C" w:rsidRPr="002C0D4B">
        <w:rPr>
          <w:rFonts w:ascii="Calibri" w:hAnsi="Calibri" w:cs="Calibri"/>
        </w:rPr>
        <w:t xml:space="preserve"> и </w:t>
      </w:r>
      <w:hyperlink r:id="rId10" w:tgtFrame="_blank" w:history="1">
        <w:r w:rsidR="00E1062C" w:rsidRPr="002C0D4B">
          <w:rPr>
            <w:rFonts w:ascii="Calibri" w:hAnsi="Calibri" w:cs="Calibri"/>
          </w:rPr>
          <w:t>Еврейской автономной области</w:t>
        </w:r>
      </w:hyperlink>
      <w:r w:rsidR="00E1062C" w:rsidRPr="002C0D4B">
        <w:rPr>
          <w:rFonts w:ascii="Calibri" w:hAnsi="Calibri" w:cs="Calibri"/>
        </w:rPr>
        <w:t xml:space="preserve">. </w:t>
      </w:r>
    </w:p>
    <w:p w:rsidR="00E1062C" w:rsidRPr="002C0D4B" w:rsidRDefault="00E1062C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«</w:t>
      </w:r>
    </w:p>
    <w:p w:rsidR="00E1062C" w:rsidRPr="002C0D4B" w:rsidRDefault="00E1062C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 xml:space="preserve">"Провести анализ причин низких значений показателя, характеризующего удовлетворенность населения качеством оказываемой медицинской помощи и ее доступностью в этих субъектах Российской Федерации, разработать и утвердить... план мероприятий, направленных на совершенствование управленческих решений в системе здравоохранения указанных субъектов Российской Федерации, включая организацию обучения руководителей медицинских организаций, а также обеспечить реализацию таких мероприятий", - говорится в перечне. </w:t>
      </w:r>
    </w:p>
    <w:p w:rsidR="00E1062C" w:rsidRPr="002C0D4B" w:rsidRDefault="00E1062C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 xml:space="preserve">Доклад должен быть представлен до 1 июня 2026 года, далее - раз в полгода. Ответственными назначены премьер-министр </w:t>
      </w:r>
      <w:hyperlink r:id="rId11" w:tgtFrame="_blank" w:history="1">
        <w:r w:rsidRPr="002C0D4B">
          <w:rPr>
            <w:rFonts w:ascii="Calibri" w:hAnsi="Calibri" w:cs="Calibri"/>
          </w:rPr>
          <w:t>РФ</w:t>
        </w:r>
      </w:hyperlink>
      <w:r w:rsidRPr="002C0D4B">
        <w:rPr>
          <w:rFonts w:ascii="Calibri" w:hAnsi="Calibri" w:cs="Calibri"/>
        </w:rPr>
        <w:t xml:space="preserve"> </w:t>
      </w:r>
      <w:hyperlink r:id="rId12" w:tgtFrame="_blank" w:history="1">
        <w:r w:rsidRPr="002C0D4B">
          <w:rPr>
            <w:rFonts w:ascii="Calibri" w:hAnsi="Calibri" w:cs="Calibri"/>
          </w:rPr>
          <w:t>Михаил Мишустин</w:t>
        </w:r>
      </w:hyperlink>
      <w:r w:rsidRPr="002C0D4B">
        <w:rPr>
          <w:rFonts w:ascii="Calibri" w:hAnsi="Calibri" w:cs="Calibri"/>
        </w:rPr>
        <w:t xml:space="preserve"> и главы соответствующих регионов.</w:t>
      </w:r>
    </w:p>
    <w:p w:rsidR="00E1062C" w:rsidRPr="002C0D4B" w:rsidRDefault="007578A1" w:rsidP="002C0D4B">
      <w:pPr>
        <w:spacing w:before="100" w:beforeAutospacing="1" w:after="100" w:afterAutospacing="1"/>
        <w:jc w:val="both"/>
        <w:outlineLvl w:val="0"/>
        <w:rPr>
          <w:rFonts w:ascii="Calibri" w:hAnsi="Calibri" w:cs="Calibri"/>
        </w:rPr>
      </w:pPr>
      <w:hyperlink r:id="rId13" w:history="1">
        <w:r w:rsidR="00E1062C" w:rsidRPr="002C0D4B">
          <w:rPr>
            <w:rStyle w:val="a4"/>
            <w:rFonts w:ascii="Calibri" w:hAnsi="Calibri" w:cs="Calibri"/>
          </w:rPr>
          <w:t>https://ria.ru/20260406/putin-2085413683.html?ysclid=mnwvxq37fn815312167</w:t>
        </w:r>
      </w:hyperlink>
    </w:p>
    <w:p w:rsidR="007A5383" w:rsidRPr="002C0D4B" w:rsidRDefault="007A5383" w:rsidP="002C0D4B">
      <w:pPr>
        <w:jc w:val="both"/>
        <w:rPr>
          <w:rFonts w:ascii="Calibri" w:hAnsi="Calibri" w:cs="Calibri"/>
          <w:b/>
        </w:rPr>
      </w:pPr>
      <w:r w:rsidRPr="002C0D4B">
        <w:rPr>
          <w:rFonts w:ascii="Calibri" w:hAnsi="Calibri" w:cs="Calibri"/>
          <w:b/>
        </w:rPr>
        <w:t>Правительство расширило перечень эксклюзивных направлений ВМП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Правительство РФ внесло корректировки в программу госгарантий (ПГГ), утвержденную на 2026–2028 годы. В результате перечень видов высокотехнологичной медицинской помощи, созданный эксклюзивно для реализации в федеральных клиниках (ВМП-III), расширили на три позиции, затрагивающие лечение онкологических заболеваний. Постановление уже вступило в силу.</w:t>
      </w:r>
    </w:p>
    <w:p w:rsidR="007A5383" w:rsidRPr="002C0D4B" w:rsidRDefault="007A5383" w:rsidP="002C0D4B">
      <w:pPr>
        <w:jc w:val="both"/>
        <w:rPr>
          <w:rFonts w:ascii="Calibri" w:hAnsi="Calibri" w:cs="Calibri"/>
          <w:spacing w:val="-5"/>
        </w:rPr>
      </w:pPr>
      <w:r w:rsidRPr="002C0D4B">
        <w:rPr>
          <w:rFonts w:ascii="Calibri" w:hAnsi="Calibri" w:cs="Calibri"/>
          <w:spacing w:val="-5"/>
        </w:rPr>
        <w:t xml:space="preserve">Согласно документу, теперь крупнейшие ведомственные центры могут претендовать на получение объемов на проведение Т-клеточной иммунотерапии с использованием генетически модифицированных аутологичных Т-лимфоцитов с химерным антигенным </w:t>
      </w:r>
      <w:r w:rsidRPr="002C0D4B">
        <w:rPr>
          <w:rFonts w:ascii="Calibri" w:hAnsi="Calibri" w:cs="Calibri"/>
          <w:spacing w:val="-5"/>
        </w:rPr>
        <w:lastRenderedPageBreak/>
        <w:t>рецептором </w:t>
      </w:r>
      <w:hyperlink r:id="rId14" w:history="1">
        <w:r w:rsidRPr="002C0D4B">
          <w:rPr>
            <w:rStyle w:val="a4"/>
            <w:rFonts w:ascii="Calibri" w:hAnsi="Calibri" w:cs="Calibri"/>
            <w:b/>
            <w:bCs/>
            <w:color w:val="194DBB"/>
            <w:spacing w:val="-5"/>
            <w:u w:val="none"/>
          </w:rPr>
          <w:t>CAR-T</w:t>
        </w:r>
      </w:hyperlink>
      <w:r w:rsidRPr="002C0D4B">
        <w:rPr>
          <w:rFonts w:ascii="Calibri" w:hAnsi="Calibri" w:cs="Calibri"/>
          <w:spacing w:val="-5"/>
        </w:rPr>
        <w:t> (7 млн рублей за случай), противоопухолевой лекарственной терапии метастатического колоректального рака персонализированной пептидной вакциной (например, </w:t>
      </w:r>
      <w:hyperlink r:id="rId15" w:history="1">
        <w:r w:rsidRPr="002C0D4B">
          <w:rPr>
            <w:rStyle w:val="a4"/>
            <w:rFonts w:ascii="Calibri" w:hAnsi="Calibri" w:cs="Calibri"/>
            <w:b/>
            <w:bCs/>
            <w:color w:val="194DBB"/>
            <w:spacing w:val="-5"/>
            <w:u w:val="none"/>
          </w:rPr>
          <w:t>Онкопепт</w:t>
        </w:r>
      </w:hyperlink>
      <w:r w:rsidRPr="002C0D4B">
        <w:rPr>
          <w:rFonts w:ascii="Calibri" w:hAnsi="Calibri" w:cs="Calibri"/>
          <w:spacing w:val="-5"/>
        </w:rPr>
        <w:t>) и лекарственной противоопухолевой терапии с применением персонализированных мРНК-вакцин.</w:t>
      </w:r>
    </w:p>
    <w:p w:rsidR="007A5383" w:rsidRPr="002C0D4B" w:rsidRDefault="007A5383" w:rsidP="002C0D4B">
      <w:pPr>
        <w:jc w:val="both"/>
        <w:rPr>
          <w:rFonts w:ascii="Calibri" w:hAnsi="Calibri" w:cs="Calibri"/>
          <w:spacing w:val="-5"/>
        </w:rPr>
      </w:pPr>
      <w:r w:rsidRPr="002C0D4B">
        <w:rPr>
          <w:rFonts w:ascii="Calibri" w:hAnsi="Calibri" w:cs="Calibri"/>
          <w:spacing w:val="-5"/>
        </w:rPr>
        <w:t>Последние два наименования содержат по четыре подпункта – затраты разбиты на конкретные мероприятия, которые входят в общую терапию. Так, лечение персонализированной пептидной вакциной включает в себя комплексную диагностику за 75,2 тысячи рублей, инициирующий курс терапии за 700 тысяч рублей, введение поддерживающей дозы за 11,7 тысячи рублей и введение дозы препарата с последующим контрольным обследованием за 32,4 тысячи.</w:t>
      </w:r>
    </w:p>
    <w:p w:rsidR="007A5383" w:rsidRPr="002C0D4B" w:rsidRDefault="007A5383" w:rsidP="002C0D4B">
      <w:pPr>
        <w:jc w:val="both"/>
        <w:rPr>
          <w:rFonts w:ascii="Calibri" w:hAnsi="Calibri" w:cs="Calibri"/>
          <w:spacing w:val="-5"/>
        </w:rPr>
      </w:pPr>
      <w:r w:rsidRPr="002C0D4B">
        <w:rPr>
          <w:rFonts w:ascii="Calibri" w:hAnsi="Calibri" w:cs="Calibri"/>
          <w:spacing w:val="-5"/>
        </w:rPr>
        <w:t>Терапия с применением персонализированных мРНК-вакцин включает в себя те же мероприятия стоимостью 428,5 тысячи рублей, 5,8 млн рублей, 46,7 тысячи рублей и 342,7 тысячи соответственно.</w:t>
      </w:r>
    </w:p>
    <w:p w:rsidR="007A5383" w:rsidRPr="002C0D4B" w:rsidRDefault="007A5383" w:rsidP="002C0D4B">
      <w:pPr>
        <w:jc w:val="both"/>
        <w:rPr>
          <w:rFonts w:ascii="Calibri" w:hAnsi="Calibri" w:cs="Calibri"/>
          <w:spacing w:val="-5"/>
        </w:rPr>
      </w:pPr>
      <w:r w:rsidRPr="002C0D4B">
        <w:rPr>
          <w:rFonts w:ascii="Calibri" w:hAnsi="Calibri" w:cs="Calibri"/>
          <w:spacing w:val="-5"/>
        </w:rPr>
        <w:t>Постановление правительства также содержит в себе ряд технических корректировок в правила распределения объемов предоставления медпомощи между федклиниками, которые необходимо было внести в связи с распространением ВМП-III на онкозаболевания.</w:t>
      </w:r>
    </w:p>
    <w:p w:rsidR="007A5383" w:rsidRPr="002C0D4B" w:rsidRDefault="007A5383" w:rsidP="002C0D4B">
      <w:pPr>
        <w:jc w:val="both"/>
        <w:rPr>
          <w:rFonts w:ascii="Calibri" w:hAnsi="Calibri" w:cs="Calibri"/>
          <w:spacing w:val="-5"/>
        </w:rPr>
      </w:pPr>
      <w:r w:rsidRPr="002C0D4B">
        <w:rPr>
          <w:rFonts w:ascii="Calibri" w:hAnsi="Calibri" w:cs="Calibri"/>
          <w:spacing w:val="-5"/>
        </w:rPr>
        <w:t>Специальную нормативную базу и тарифную политику для лечения по новым видам ВМП Минздрав разработал к 1 марта 2022 года, чему предшествовало погружение восьми высокозатратных методов медпомощи в программу госгарантий на 2022 год (шесть по профилю «сердечно-сосудистая хирургия» и два – по трансплантации). Сейчас, согласно </w:t>
      </w:r>
      <w:hyperlink r:id="rId16" w:history="1">
        <w:r w:rsidRPr="002C0D4B">
          <w:rPr>
            <w:rStyle w:val="a4"/>
            <w:rFonts w:ascii="Calibri" w:hAnsi="Calibri" w:cs="Calibri"/>
            <w:b/>
            <w:bCs/>
            <w:color w:val="194DBB"/>
            <w:spacing w:val="-5"/>
            <w:u w:val="none"/>
          </w:rPr>
          <w:t>ПГГ-2026</w:t>
        </w:r>
      </w:hyperlink>
      <w:r w:rsidRPr="002C0D4B">
        <w:rPr>
          <w:rFonts w:ascii="Calibri" w:hAnsi="Calibri" w:cs="Calibri"/>
          <w:spacing w:val="-5"/>
        </w:rPr>
        <w:t>, список состоит из 14 наименований. Наиболее дорогим видом ВМП-III стоимостью 11 млн рублей за случай оказалось «хирургическое лечение хронической сердечной недостаточности у взрослых». Данный пункт был добавлен в программу госгарантий на 2025 год.</w:t>
      </w:r>
    </w:p>
    <w:p w:rsidR="007A5383" w:rsidRPr="002C0D4B" w:rsidRDefault="007A5383" w:rsidP="002C0D4B">
      <w:pPr>
        <w:jc w:val="both"/>
        <w:rPr>
          <w:rFonts w:ascii="Calibri" w:hAnsi="Calibri" w:cs="Calibri"/>
          <w:spacing w:val="-5"/>
        </w:rPr>
      </w:pPr>
      <w:r w:rsidRPr="002C0D4B">
        <w:rPr>
          <w:rFonts w:ascii="Calibri" w:hAnsi="Calibri" w:cs="Calibri"/>
          <w:spacing w:val="-5"/>
        </w:rPr>
        <w:t>Средства на ВМП-III идут исключительно и напрямую в федклиники из нормированного страхового запаса ФФОМС. О том, как мощнейшие госклиники страны усиливают свои позиции в индустрии, – в </w:t>
      </w:r>
      <w:hyperlink r:id="rId17" w:history="1">
        <w:r w:rsidRPr="002C0D4B">
          <w:rPr>
            <w:rStyle w:val="a4"/>
            <w:rFonts w:ascii="Calibri" w:hAnsi="Calibri" w:cs="Calibri"/>
            <w:b/>
            <w:bCs/>
            <w:color w:val="194DBB"/>
            <w:spacing w:val="-5"/>
            <w:u w:val="none"/>
          </w:rPr>
          <w:t>материале</w:t>
        </w:r>
      </w:hyperlink>
      <w:r w:rsidRPr="002C0D4B">
        <w:rPr>
          <w:rFonts w:ascii="Calibri" w:hAnsi="Calibri" w:cs="Calibri"/>
          <w:spacing w:val="-5"/>
        </w:rPr>
        <w:t> Vademecum.</w:t>
      </w:r>
    </w:p>
    <w:p w:rsidR="007A5383" w:rsidRPr="002C0D4B" w:rsidRDefault="007A5383" w:rsidP="002C0D4B">
      <w:pPr>
        <w:jc w:val="both"/>
        <w:rPr>
          <w:rFonts w:ascii="Calibri" w:hAnsi="Calibri" w:cs="Calibri"/>
          <w:spacing w:val="-5"/>
        </w:rPr>
      </w:pPr>
      <w:r w:rsidRPr="002C0D4B">
        <w:rPr>
          <w:rFonts w:ascii="Calibri" w:hAnsi="Calibri" w:cs="Calibri"/>
          <w:i/>
          <w:iCs/>
          <w:spacing w:val="-5"/>
        </w:rPr>
        <w:t>UPD. В новость от 12 марта 2026 года о том, что Минздрав </w:t>
      </w:r>
      <w:hyperlink r:id="rId18" w:history="1">
        <w:r w:rsidRPr="002C0D4B">
          <w:rPr>
            <w:rStyle w:val="a4"/>
            <w:rFonts w:ascii="Calibri" w:hAnsi="Calibri" w:cs="Calibri"/>
            <w:b/>
            <w:bCs/>
            <w:i/>
            <w:iCs/>
            <w:color w:val="194DBB"/>
            <w:spacing w:val="-5"/>
            <w:u w:val="none"/>
          </w:rPr>
          <w:t>предложил</w:t>
        </w:r>
      </w:hyperlink>
      <w:r w:rsidRPr="002C0D4B">
        <w:rPr>
          <w:rFonts w:ascii="Calibri" w:hAnsi="Calibri" w:cs="Calibri"/>
          <w:i/>
          <w:iCs/>
          <w:spacing w:val="-5"/>
        </w:rPr>
        <w:t> расширить перечень ВМП-III, 7 апреля 2026 года внесены изменения в связи с утверждением тематического </w:t>
      </w:r>
      <w:hyperlink r:id="rId19" w:history="1">
        <w:r w:rsidRPr="002C0D4B">
          <w:rPr>
            <w:rStyle w:val="a4"/>
            <w:rFonts w:ascii="Calibri" w:hAnsi="Calibri" w:cs="Calibri"/>
            <w:b/>
            <w:bCs/>
            <w:i/>
            <w:iCs/>
            <w:color w:val="194DBB"/>
            <w:spacing w:val="-5"/>
            <w:u w:val="none"/>
          </w:rPr>
          <w:t>постановления</w:t>
        </w:r>
      </w:hyperlink>
      <w:r w:rsidRPr="002C0D4B">
        <w:rPr>
          <w:rFonts w:ascii="Calibri" w:hAnsi="Calibri" w:cs="Calibri"/>
          <w:spacing w:val="-5"/>
        </w:rPr>
        <w:t> </w:t>
      </w:r>
      <w:r w:rsidRPr="002C0D4B">
        <w:rPr>
          <w:rFonts w:ascii="Calibri" w:hAnsi="Calibri" w:cs="Calibri"/>
          <w:i/>
          <w:iCs/>
          <w:spacing w:val="-5"/>
        </w:rPr>
        <w:t>Правительства РФ.</w:t>
      </w:r>
    </w:p>
    <w:p w:rsidR="007A5383" w:rsidRPr="002C0D4B" w:rsidRDefault="007578A1" w:rsidP="002C0D4B">
      <w:pPr>
        <w:jc w:val="both"/>
        <w:rPr>
          <w:rFonts w:ascii="Calibri" w:hAnsi="Calibri" w:cs="Calibri"/>
        </w:rPr>
      </w:pPr>
      <w:hyperlink r:id="rId20" w:history="1">
        <w:r w:rsidR="007A5383" w:rsidRPr="002C0D4B">
          <w:rPr>
            <w:rStyle w:val="a4"/>
            <w:rFonts w:ascii="Calibri" w:hAnsi="Calibri" w:cs="Calibri"/>
          </w:rPr>
          <w:t>https://vademec.ru/news/2026/03/12/minzdrav-rasshirit-perechen-eksklyuzivnykh-napravleniy-vmp/</w:t>
        </w:r>
      </w:hyperlink>
    </w:p>
    <w:p w:rsidR="007A5383" w:rsidRPr="002C0D4B" w:rsidRDefault="007A5383" w:rsidP="002C0D4B">
      <w:pPr>
        <w:jc w:val="both"/>
        <w:rPr>
          <w:rFonts w:ascii="Calibri" w:hAnsi="Calibri" w:cs="Calibri"/>
        </w:rPr>
      </w:pPr>
    </w:p>
    <w:p w:rsidR="007A5383" w:rsidRPr="002C0D4B" w:rsidRDefault="007A5383" w:rsidP="002C0D4B">
      <w:pPr>
        <w:jc w:val="both"/>
        <w:rPr>
          <w:rFonts w:ascii="Calibri" w:hAnsi="Calibri" w:cs="Calibri"/>
          <w:b/>
        </w:rPr>
      </w:pPr>
      <w:r w:rsidRPr="002C0D4B">
        <w:rPr>
          <w:rFonts w:ascii="Calibri" w:hAnsi="Calibri" w:cs="Calibri"/>
          <w:b/>
        </w:rPr>
        <w:t>Правительство РФ включило терапию онковакцинами в ОМС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Постановлением правительства РФ внесены изменения в Программу госгарантий. Россиянам станет доступна по полису ОМС, в частности, противоопухолевая терапия с применением персонализированных мРНК-вакцин.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Правительство РФ внесло изменения в Программу госгарантий (ПГГ), включив в нее новые методы борьбы с онкологическими заболеваниями. Постановление </w:t>
      </w:r>
      <w:hyperlink r:id="rId21" w:history="1">
        <w:r w:rsidRPr="002C0D4B">
          <w:rPr>
            <w:rStyle w:val="a4"/>
            <w:rFonts w:ascii="Calibri" w:hAnsi="Calibri" w:cs="Calibri"/>
            <w:color w:val="E1442F"/>
          </w:rPr>
          <w:t>№ 365 от 02.04.2026</w:t>
        </w:r>
      </w:hyperlink>
      <w:r w:rsidRPr="002C0D4B">
        <w:rPr>
          <w:rFonts w:ascii="Calibri" w:hAnsi="Calibri" w:cs="Calibri"/>
        </w:rPr>
        <w:t> доступно на «МВ».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В специальный, третий, раздел высокотехнологичной медпомощи (ВМП-III) в качестве методов лечения добавлены CAR-T-терапия, а также инициирующий курс терапии персонализированной мРНК-вакциной. Оказывать эти медицинские услуги могут только федеральные клиники.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Как ранее </w:t>
      </w:r>
      <w:hyperlink r:id="rId22" w:history="1">
        <w:r w:rsidRPr="002C0D4B">
          <w:rPr>
            <w:rStyle w:val="a4"/>
            <w:rFonts w:ascii="Calibri" w:hAnsi="Calibri" w:cs="Calibri"/>
            <w:color w:val="E1442F"/>
          </w:rPr>
          <w:t>писал «МВ»</w:t>
        </w:r>
      </w:hyperlink>
      <w:r w:rsidRPr="002C0D4B">
        <w:rPr>
          <w:rFonts w:ascii="Calibri" w:hAnsi="Calibri" w:cs="Calibri"/>
        </w:rPr>
        <w:t xml:space="preserve">, для пациентов с рецидивирующими или рефрактерными формами CD19-позитивных В-клеточных злокачественных новообразований, такими как острый лимфобластный лейкоз, диффузная В-крупноклеточная лимфома и др., планируется применять Т-клеточную иммунотерапию с использованием генетически модифицированных аутологичных Т-лимфоцитов с химерным антигенным рецептором </w:t>
      </w:r>
      <w:r w:rsidRPr="002C0D4B">
        <w:rPr>
          <w:rFonts w:ascii="Calibri" w:hAnsi="Calibri" w:cs="Calibri"/>
        </w:rPr>
        <w:lastRenderedPageBreak/>
        <w:t>CAR-T. Метод включает забор лейкоцитов, генетическую модификацию Т-лимфоцитов с созданием химерного антигенного рецептора (CAR), экспансию клеточного продукта, лимфодеплетирующую химиотерапию, инфузию CAR-T-клеток и последующее сопроводительное лечение с контролем осложнений. Стоимость терапии составит 7,03 млн руб.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Для пациентов с метастатическим колоректальным раком после прогрессирования на двух и более линиях противоопухолевой лекарственной терапии будет предложена терапия персонализированной пептидной вакциной «Онкопепт», ее стоимость составит 863,7 тыс. руб.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Для лечения некоторых других видов рака применяется метод мРНК-вакцины. Для него подходят опухоли, у которых возможно получение опухолевой ткани для молекулярного анализа с последующим синтезом индивидуализированной мРНК-вакцины. Например, это злокачественные новообразования губы, полости рта и глотки, органов дыхания и грудной клетки, женских и мужских половых органов и т.д. Метод включает несколько пунктов. Комплексная диагностика для определения неоантигенного профиля опухоли будет стоить 428,5 тыс. руб., инициирующий курс терапии персонализированной мРНК-вакциной (включая молекулярно-генетическое конструирование, синтез и валидацию (контроль качества) — 5,8 млн руб., поддерживающая доза персонализированной мРНК-вакцины с проведением молекулярно-генетического исследования и иммунологического мониторинга для оценки эффективности — 342,7 тыс. руб., поддерживающая доза без мониторинга — 46,8 тыс. руб.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Новые виды ВМП-III планируется финансировать из нормированного страхового запаса (НСЗ) Федерального фонда ОМС в пределах объема средств, утвержденных законом о бюджете ФОМС на 2026 год и на плановый период 2027 и 2028 годов.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Среди других изменений в ПГГ, в частности, возможность транспортного сопровождения беременных женщин, проживающих в отдаленных населенных пунктах и сельской местности без регулярного транспортного сообщения с ближайшим профильным медучреждением, до медорганизации и обратно. Также предусмотрена возможность увеличения предельного срока записи пациента через портал госуслуг на прием к врачу и для проведения диагностических инструментальных и лабораторных исследований.</w:t>
      </w:r>
    </w:p>
    <w:p w:rsidR="007A5383" w:rsidRPr="002C0D4B" w:rsidRDefault="007A5383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В конце прошлой недели первый пациент получил персонализированную вакцину для лечения меланомы в НМИЦ радиологии. Ее применение рассматривается как средство контроля над заболеванием, </w:t>
      </w:r>
      <w:hyperlink r:id="rId23" w:history="1">
        <w:r w:rsidRPr="002C0D4B">
          <w:rPr>
            <w:rFonts w:ascii="Calibri" w:hAnsi="Calibri" w:cs="Calibri"/>
            <w:color w:val="E1442F"/>
          </w:rPr>
          <w:t>сообщал «МВ»</w:t>
        </w:r>
      </w:hyperlink>
      <w:r w:rsidRPr="002C0D4B">
        <w:rPr>
          <w:rFonts w:ascii="Calibri" w:hAnsi="Calibri" w:cs="Calibri"/>
        </w:rPr>
        <w:t>.</w:t>
      </w:r>
    </w:p>
    <w:p w:rsidR="00E1062C" w:rsidRPr="002C0D4B" w:rsidRDefault="007578A1" w:rsidP="002C0D4B">
      <w:pPr>
        <w:spacing w:before="100" w:beforeAutospacing="1" w:after="100" w:afterAutospacing="1"/>
        <w:jc w:val="both"/>
        <w:outlineLvl w:val="0"/>
        <w:rPr>
          <w:rStyle w:val="a4"/>
          <w:rFonts w:ascii="Calibri" w:hAnsi="Calibri" w:cs="Calibri"/>
        </w:rPr>
      </w:pPr>
      <w:hyperlink r:id="rId24" w:history="1">
        <w:r w:rsidR="007A5383" w:rsidRPr="002C0D4B">
          <w:rPr>
            <w:rStyle w:val="a4"/>
            <w:rFonts w:ascii="Calibri" w:hAnsi="Calibri" w:cs="Calibri"/>
          </w:rPr>
          <w:t>https://medvestnik.ru/content/news/pravitelstvo-rf-vkluchilo-terapiu-onkovakcinami-v-oms.html</w:t>
        </w:r>
      </w:hyperlink>
    </w:p>
    <w:p w:rsidR="002C0D4B" w:rsidRPr="002C0D4B" w:rsidRDefault="002C0D4B" w:rsidP="002C0D4B">
      <w:pPr>
        <w:jc w:val="both"/>
        <w:rPr>
          <w:rFonts w:ascii="Calibri" w:hAnsi="Calibri" w:cs="Calibri"/>
          <w:b/>
        </w:rPr>
      </w:pPr>
      <w:r w:rsidRPr="002C0D4B">
        <w:rPr>
          <w:rFonts w:ascii="Calibri" w:hAnsi="Calibri" w:cs="Calibri"/>
          <w:b/>
        </w:rPr>
        <w:t>Сотрудникам скорой помощи предложили дать право на досрочную пенсию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Депутаты предложили дать работникам скорой помощи право на досрочную пенсию. По мнению авторов законопроекта, это должно повысить социальную защищенность медработников и укрепить кадровый потенциал службы.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Депутаты Госдумы РФ от фракции «Справедливая Россия» внесли законопроект о праве работников скорой медицинской помощи на досрочный выход на пенсию. Инициатива предполагает установление льготного стажа в 20 лет для сотрудников сельских отделений и 25 лет — для городских работников, </w:t>
      </w:r>
      <w:hyperlink r:id="rId25" w:tgtFrame="_blank" w:history="1">
        <w:r w:rsidRPr="002C0D4B">
          <w:rPr>
            <w:rStyle w:val="a4"/>
            <w:rFonts w:ascii="Calibri" w:hAnsi="Calibri" w:cs="Calibri"/>
            <w:color w:val="E1442F"/>
          </w:rPr>
          <w:t>пишет</w:t>
        </w:r>
      </w:hyperlink>
      <w:r w:rsidRPr="002C0D4B">
        <w:rPr>
          <w:rFonts w:ascii="Calibri" w:hAnsi="Calibri" w:cs="Calibri"/>
        </w:rPr>
        <w:t> РИА «Новости».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По действующему законодательству право на досрочную страховую пенсию медработники получают при стаже не менее 25 лет в сельской местности и 30 лет в городе, при этом оформление пенсии возможно лишь с отсрочкой до пяти лет после выработки специального стажа.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lastRenderedPageBreak/>
        <w:t>Авторы законопроекта указывают, что сотрудники скорой помощи работают в режиме круглосуточных дежурств, испытывают постоянный стресс, несут высокую ответственность за жизнь пациентов и подвержены профессиональному выгоранию. Отдельные категории медработников уже пользуются льготным исчислением стажа за работу в сельской местности, в реанимации, хирургии и других отделениях, однако профильные послабления для работников «скорой» до сих пор не закреплены отдельно.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По словам депутатов, принятие законопроекта усилит социальную защищенность сотрудников скорой помощи, поможет укрепить кадровый потенциал службы и станет дополнительным стимулом для прихода в эту сферу молодых специалистов.  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Еще одно недавнее предложение, выдвинутое парламентариями, связано с предоставлением компенсации </w:t>
      </w:r>
      <w:hyperlink r:id="rId26" w:tgtFrame="_blank" w:history="1">
        <w:r w:rsidRPr="002C0D4B">
          <w:rPr>
            <w:rStyle w:val="a4"/>
            <w:rFonts w:ascii="Calibri" w:hAnsi="Calibri" w:cs="Calibri"/>
            <w:color w:val="E1442F"/>
          </w:rPr>
          <w:t>оплаты проезда</w:t>
        </w:r>
      </w:hyperlink>
      <w:r w:rsidRPr="002C0D4B">
        <w:rPr>
          <w:rFonts w:ascii="Calibri" w:hAnsi="Calibri" w:cs="Calibri"/>
        </w:rPr>
        <w:t> к месту использования отпуска и обратно медицинскому и педагогическому персоналу в государственных и муниципальных учреждениях здравоохранения и образования. Цель инициативы — повышение социального статуса, престижа и кадровой устойчивости ключевых социальных профессий.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Ранее в марте депутат предложил установить повышенный </w:t>
      </w:r>
      <w:hyperlink r:id="rId27" w:history="1">
        <w:r w:rsidRPr="002C0D4B">
          <w:rPr>
            <w:rStyle w:val="a4"/>
            <w:rFonts w:ascii="Calibri" w:hAnsi="Calibri" w:cs="Calibri"/>
            <w:color w:val="E1442F"/>
          </w:rPr>
          <w:t>индивидуальный пенсионный коэффициент</w:t>
        </w:r>
      </w:hyperlink>
      <w:r w:rsidRPr="002C0D4B">
        <w:rPr>
          <w:rFonts w:ascii="Calibri" w:hAnsi="Calibri" w:cs="Calibri"/>
        </w:rPr>
        <w:t> (ИПК) для педагогических и медицинских работников — 1,5 к суммарному ИПК, сформированному за весь период трудовой деятельности. Мера должна компенсировать объективно сложившийся дисбаланс между социальной значимостью труда указанных категорий работников и уровнем их пенсионных прав, формируемых в условиях сравнительно невысокой заработной платы и высокой профессиональной нагрузки, отметил политик.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В прошлом году депутаты Госдумы РФ также внесли законопроект, предполагающий </w:t>
      </w:r>
      <w:hyperlink r:id="rId28" w:history="1">
        <w:r w:rsidRPr="002C0D4B">
          <w:rPr>
            <w:rStyle w:val="a4"/>
            <w:rFonts w:ascii="Calibri" w:hAnsi="Calibri" w:cs="Calibri"/>
            <w:color w:val="E1442F"/>
          </w:rPr>
          <w:t>повышение пенсии</w:t>
        </w:r>
      </w:hyperlink>
      <w:r w:rsidRPr="002C0D4B">
        <w:rPr>
          <w:rFonts w:ascii="Calibri" w:hAnsi="Calibri" w:cs="Calibri"/>
        </w:rPr>
        <w:t> сельским медикам с 2026 года на 25%. Норму предложили распространить на сотрудников медучреждений, проработавших в сельской местности и поселках городского типа не меньше 25 лет.</w:t>
      </w:r>
    </w:p>
    <w:p w:rsidR="002C0D4B" w:rsidRPr="002C0D4B" w:rsidRDefault="007578A1" w:rsidP="002C0D4B">
      <w:pPr>
        <w:spacing w:before="100" w:beforeAutospacing="1" w:after="100" w:afterAutospacing="1"/>
        <w:jc w:val="both"/>
        <w:outlineLvl w:val="0"/>
        <w:rPr>
          <w:rStyle w:val="a4"/>
          <w:rFonts w:ascii="Calibri" w:hAnsi="Calibri" w:cs="Calibri"/>
        </w:rPr>
      </w:pPr>
      <w:hyperlink r:id="rId29" w:history="1">
        <w:r w:rsidR="002C0D4B" w:rsidRPr="002C0D4B">
          <w:rPr>
            <w:rStyle w:val="a4"/>
            <w:rFonts w:ascii="Calibri" w:hAnsi="Calibri" w:cs="Calibri"/>
          </w:rPr>
          <w:t>https://medvestnik.ru/content/news/sotrudnikam-skoroi-pomoshi-predlojili-dat-pravo-na-dosrochnuu-pensiu.html</w:t>
        </w:r>
      </w:hyperlink>
    </w:p>
    <w:p w:rsidR="002C0D4B" w:rsidRPr="002C0D4B" w:rsidRDefault="002C0D4B" w:rsidP="002C0D4B">
      <w:pPr>
        <w:spacing w:before="100" w:beforeAutospacing="1" w:after="100" w:afterAutospacing="1"/>
        <w:jc w:val="both"/>
        <w:outlineLvl w:val="0"/>
        <w:rPr>
          <w:rStyle w:val="a4"/>
          <w:rFonts w:ascii="Calibri" w:hAnsi="Calibri" w:cs="Calibri"/>
        </w:rPr>
      </w:pPr>
    </w:p>
    <w:p w:rsidR="002C0D4B" w:rsidRPr="002C0D4B" w:rsidRDefault="002C0D4B" w:rsidP="002C0D4B">
      <w:pPr>
        <w:spacing w:before="100" w:beforeAutospacing="1" w:after="100" w:afterAutospacing="1"/>
        <w:jc w:val="both"/>
        <w:outlineLvl w:val="0"/>
        <w:rPr>
          <w:rFonts w:ascii="Calibri" w:hAnsi="Calibri" w:cs="Calibri"/>
          <w:b/>
          <w:color w:val="FF0000"/>
        </w:rPr>
      </w:pPr>
      <w:r w:rsidRPr="002C0D4B">
        <w:rPr>
          <w:rFonts w:ascii="Calibri" w:hAnsi="Calibri" w:cs="Calibri"/>
          <w:b/>
          <w:color w:val="FF0000"/>
        </w:rPr>
        <w:t>РАЗНОЕ</w:t>
      </w:r>
    </w:p>
    <w:p w:rsidR="002C0D4B" w:rsidRPr="002C0D4B" w:rsidRDefault="002C0D4B" w:rsidP="002C0D4B">
      <w:pPr>
        <w:pStyle w:val="1"/>
        <w:jc w:val="both"/>
        <w:rPr>
          <w:rFonts w:ascii="Calibri" w:eastAsia="Times New Roman" w:hAnsi="Calibri" w:cs="Calibri"/>
          <w:bCs w:val="0"/>
          <w:color w:val="auto"/>
          <w:sz w:val="24"/>
          <w:szCs w:val="24"/>
        </w:rPr>
      </w:pPr>
      <w:r w:rsidRPr="002C0D4B">
        <w:rPr>
          <w:rFonts w:ascii="Calibri" w:eastAsia="Times New Roman" w:hAnsi="Calibri" w:cs="Calibri"/>
          <w:bCs w:val="0"/>
          <w:color w:val="auto"/>
          <w:sz w:val="24"/>
          <w:szCs w:val="24"/>
        </w:rPr>
        <w:t>Бывший следователь дал советы врачам по правильному поведению в статусе обвиняемого</w:t>
      </w:r>
    </w:p>
    <w:p w:rsidR="002C0D4B" w:rsidRPr="002C0D4B" w:rsidRDefault="002C0D4B" w:rsidP="002C0D4B">
      <w:pPr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Экс-сотрудник Следственного комитета России опубликовал продолжение рекомендаций для врачей, столкнувшихся с уголовным преследованием. Обвиняемому важно помнить о праве вообще отказаться от дачи показаний и не пытаться объяснить следствию медицинские нюансы дела.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 xml:space="preserve">Генеральный директор юридической компании «ЮрМедАльянс», экс-глава отдела по расследованию ятрогенных преступлений Главного следственного управления Следственного комитета России (СКР) </w:t>
      </w:r>
      <w:r w:rsidRPr="002C0D4B">
        <w:rPr>
          <w:rStyle w:val="a5"/>
          <w:rFonts w:ascii="Calibri" w:hAnsi="Calibri" w:cs="Calibri"/>
        </w:rPr>
        <w:t>Дмитрий Зинин</w:t>
      </w:r>
      <w:r w:rsidRPr="002C0D4B">
        <w:rPr>
          <w:rFonts w:ascii="Calibri" w:hAnsi="Calibri" w:cs="Calibri"/>
        </w:rPr>
        <w:t xml:space="preserve"> </w:t>
      </w:r>
      <w:hyperlink r:id="rId30" w:tgtFrame="_blank" w:history="1">
        <w:r w:rsidRPr="002C0D4B">
          <w:rPr>
            <w:rStyle w:val="a4"/>
            <w:rFonts w:ascii="Calibri" w:hAnsi="Calibri" w:cs="Calibri"/>
          </w:rPr>
          <w:t>дал советы</w:t>
        </w:r>
      </w:hyperlink>
      <w:r w:rsidRPr="002C0D4B">
        <w:rPr>
          <w:rFonts w:ascii="Calibri" w:hAnsi="Calibri" w:cs="Calibri"/>
        </w:rPr>
        <w:t xml:space="preserve"> врачам, как правильно общаться с силовиками, если против них выдвинули обвинение по уголовному делу.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 xml:space="preserve">Самое важное понять простую вещь: задача — не «все объяснить и разойтись», а защитить свою позицию в рамках уголовного процесса и не пытаться показывать «искренность без фильтра». Надо помнить, что по Уголовно-процесссуальному кодексу </w:t>
      </w:r>
      <w:r w:rsidRPr="002C0D4B">
        <w:rPr>
          <w:rFonts w:ascii="Calibri" w:hAnsi="Calibri" w:cs="Calibri"/>
        </w:rPr>
        <w:lastRenderedPageBreak/>
        <w:t>(УПК) РФ обвиняемый вправе вообще не давать показания — и это никак не ухудшает его позицию. Поэтому если нет четкой линии защиты — лучше взять паузу, чем «наговорить на себя».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Фраза «воспользуюсь правом не давать показания на данном этапе» — абсолютно рабочий инструмент. Без адвоката — ни слова по существу. Право на защитника — ключевое, и реализовывать его нужно сразу. Даже если «все очевидно» и «я ни при чем». Практика показывает: именно в таких ситуациях люди говорят лишнее. Адвокат — это ваш фильтр и навигатор в процессе, поясняет Дмитрий Зимин</w:t>
      </w:r>
      <w:r w:rsidRPr="002C0D4B">
        <w:rPr>
          <w:rFonts w:ascii="Calibri" w:hAnsi="Calibri" w:cs="Calibri"/>
          <w:color w:val="1A1B1D"/>
        </w:rPr>
        <w:t>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Типичная ошибка врача — начать читать следователю лекцию о клинических рекомендациях, осложнениях и рисках. Проблема в том, что следствие это фиксирует в юридических категориях, а не в медицинских. В итоге сложные вещи упрощаются и могут быть использованы стороной обвинения. Таким образом, еще один важный совет: все медицинские нюансы — через позицию защиты и, по возможности, через экспертизу.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Третий важный пункт касается содержания протокола допроса. Согласно УПК РФ подозреваемый имеет право знакомиться с ним, вносить замечания и требовать исправлений. «Пользуйтесь этим максимально внимательно. Не «ну вроде так и говорил», а «вот это формулируем иначе». Протокол — это не формальность, а документ, который потом читают в суде», — отметил юрист.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>Также не надо геройствовать и брать на себя ответственность шире, чем есть на самом деле — за систему, за отделение, за «в целом так принято». «В уголовном процессе это почти всегда плохая идея. Ваша зона — конкретные действия в конкретной ситуации, а не вся медицина сразу. Допрос обвиняемого — это не тот случай, где ценится «открытость и искренность без фильтра». Здесь ценится точность, сдержанность и вовремя сказанное «по согласованию с адвокатом», — подчеркнул Дмитрий Зимин.</w:t>
      </w:r>
      <w:r w:rsidRPr="002C0D4B">
        <w:rPr>
          <w:rFonts w:ascii="Calibri" w:hAnsi="Calibri" w:cs="Calibri"/>
        </w:rPr>
        <w:br/>
      </w:r>
      <w:r w:rsidRPr="002C0D4B">
        <w:rPr>
          <w:rFonts w:ascii="Calibri" w:hAnsi="Calibri" w:cs="Calibri"/>
        </w:rPr>
        <w:br/>
        <w:t xml:space="preserve">Ранее юрист </w:t>
      </w:r>
      <w:hyperlink r:id="rId31" w:history="1">
        <w:r w:rsidRPr="002C0D4B">
          <w:rPr>
            <w:rStyle w:val="a4"/>
            <w:rFonts w:ascii="Calibri" w:hAnsi="Calibri" w:cs="Calibri"/>
          </w:rPr>
          <w:t>опубликовал</w:t>
        </w:r>
      </w:hyperlink>
      <w:r w:rsidRPr="002C0D4B">
        <w:rPr>
          <w:rFonts w:ascii="Calibri" w:hAnsi="Calibri" w:cs="Calibri"/>
        </w:rPr>
        <w:t xml:space="preserve"> рекомендации врачам, как правильно вести себя на допросе, чтобы неожиданно не перейти из статуса свидетеля в обвиняемые. Ключевые тезисы: не говорить лишнего, не свидетельствовать против себя и внимательно читать протокол допроса до его подписания.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 xml:space="preserve">Уголовная практика по медицинским делам показывает </w:t>
      </w:r>
      <w:hyperlink r:id="rId32" w:history="1">
        <w:r w:rsidRPr="002C0D4B">
          <w:rPr>
            <w:rStyle w:val="a4"/>
            <w:rFonts w:ascii="Calibri" w:hAnsi="Calibri" w:cs="Calibri"/>
          </w:rPr>
          <w:t>усиление давления</w:t>
        </w:r>
      </w:hyperlink>
      <w:r w:rsidRPr="002C0D4B">
        <w:rPr>
          <w:rFonts w:ascii="Calibri" w:hAnsi="Calibri" w:cs="Calibri"/>
        </w:rPr>
        <w:t xml:space="preserve"> Следственного комитета РФ и Росздравнадзора на медработников. При этом фокус смещается с единичных врачебных ошибок на системные нарушения и корыстные преступления. В этом году возможны новые громкие уголовные дела и задержания руководства из-за системной халатности в частных медцентрах, поводом к которым станут массовые обращения пациентов в соцсетях. Растет число уголовных дел по статьям о мошенничестве. Ранее Следственный комитет РФ сообщал про </w:t>
      </w:r>
      <w:hyperlink r:id="rId33" w:history="1">
        <w:r w:rsidRPr="002C0D4B">
          <w:rPr>
            <w:rStyle w:val="a4"/>
            <w:rFonts w:ascii="Calibri" w:hAnsi="Calibri" w:cs="Calibri"/>
          </w:rPr>
          <w:t xml:space="preserve">незначительное снижение </w:t>
        </w:r>
      </w:hyperlink>
      <w:r w:rsidRPr="002C0D4B">
        <w:rPr>
          <w:rFonts w:ascii="Calibri" w:hAnsi="Calibri" w:cs="Calibri"/>
        </w:rPr>
        <w:t>частоты уголовного преследования врачей после вступления в силу поправок в УК РФ о частичной декриминализации медицинской деятельности.</w:t>
      </w:r>
    </w:p>
    <w:p w:rsidR="002C0D4B" w:rsidRPr="002C0D4B" w:rsidRDefault="002C0D4B" w:rsidP="002C0D4B">
      <w:pPr>
        <w:pStyle w:val="a3"/>
        <w:jc w:val="both"/>
        <w:rPr>
          <w:rFonts w:ascii="Calibri" w:hAnsi="Calibri" w:cs="Calibri"/>
        </w:rPr>
      </w:pPr>
      <w:r w:rsidRPr="002C0D4B">
        <w:rPr>
          <w:rFonts w:ascii="Calibri" w:hAnsi="Calibri" w:cs="Calibri"/>
        </w:rPr>
        <w:t xml:space="preserve">Акушерство и гинекология — лидер по частоте уголовных дел против врачей, </w:t>
      </w:r>
      <w:hyperlink r:id="rId34" w:history="1">
        <w:r w:rsidRPr="002C0D4B">
          <w:rPr>
            <w:rStyle w:val="a4"/>
            <w:rFonts w:ascii="Calibri" w:hAnsi="Calibri" w:cs="Calibri"/>
          </w:rPr>
          <w:t>писал</w:t>
        </w:r>
      </w:hyperlink>
      <w:r w:rsidRPr="002C0D4B">
        <w:rPr>
          <w:rFonts w:ascii="Calibri" w:hAnsi="Calibri" w:cs="Calibri"/>
        </w:rPr>
        <w:t xml:space="preserve"> «МВ» со ссылкой на Центр судмедэкспертизы Минздрава РФ. В последние десять лет количество уголовных дел в этой сфере растет, несмотря на кратное, по данным Росстата, уменьшение показателей младенческой и материнской смертности.</w:t>
      </w:r>
    </w:p>
    <w:p w:rsidR="002C0D4B" w:rsidRPr="002C0D4B" w:rsidRDefault="007578A1" w:rsidP="002C0D4B">
      <w:pPr>
        <w:spacing w:before="100" w:beforeAutospacing="1" w:after="100" w:afterAutospacing="1"/>
        <w:jc w:val="both"/>
        <w:outlineLvl w:val="0"/>
        <w:rPr>
          <w:rFonts w:ascii="Calibri" w:hAnsi="Calibri" w:cs="Calibri"/>
          <w:color w:val="000000" w:themeColor="text1"/>
        </w:rPr>
      </w:pPr>
      <w:hyperlink r:id="rId35" w:history="1">
        <w:r w:rsidR="002C0D4B" w:rsidRPr="002C0D4B">
          <w:rPr>
            <w:rStyle w:val="a4"/>
            <w:rFonts w:ascii="Calibri" w:hAnsi="Calibri" w:cs="Calibri"/>
          </w:rPr>
          <w:t>https://medvestnik.ru/content/news/byvshii-sledovatel-dal-sovety-vracham-po-pravilnomu-povedeniu-v-statuse-obvinyaemogo.html</w:t>
        </w:r>
      </w:hyperlink>
    </w:p>
    <w:p w:rsidR="002C0D4B" w:rsidRPr="00E1062C" w:rsidRDefault="002C0D4B" w:rsidP="002C0D4B">
      <w:pPr>
        <w:spacing w:before="100" w:beforeAutospacing="1" w:after="100" w:afterAutospacing="1"/>
        <w:jc w:val="both"/>
        <w:outlineLvl w:val="0"/>
        <w:rPr>
          <w:rFonts w:ascii="Calibri" w:hAnsi="Calibri" w:cs="Calibri"/>
          <w:color w:val="000000" w:themeColor="text1"/>
        </w:rPr>
      </w:pPr>
    </w:p>
    <w:p w:rsidR="00E1062C" w:rsidRPr="002C0D4B" w:rsidRDefault="00E1062C" w:rsidP="002C0D4B">
      <w:pPr>
        <w:jc w:val="both"/>
        <w:rPr>
          <w:rFonts w:ascii="Calibri" w:hAnsi="Calibri" w:cs="Calibri"/>
        </w:rPr>
      </w:pPr>
    </w:p>
    <w:p w:rsidR="008D1493" w:rsidRPr="002C0D4B" w:rsidRDefault="008D1493" w:rsidP="002C0D4B">
      <w:pPr>
        <w:jc w:val="both"/>
        <w:rPr>
          <w:rFonts w:ascii="Calibri" w:hAnsi="Calibri" w:cs="Calibri"/>
        </w:rPr>
      </w:pPr>
    </w:p>
    <w:sectPr w:rsidR="008D1493" w:rsidRPr="002C0D4B" w:rsidSect="001A5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D11E4"/>
    <w:multiLevelType w:val="multilevel"/>
    <w:tmpl w:val="171C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5F43E4"/>
    <w:multiLevelType w:val="multilevel"/>
    <w:tmpl w:val="AF0AA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8D1493"/>
    <w:rsid w:val="00133AB2"/>
    <w:rsid w:val="001A5EDC"/>
    <w:rsid w:val="001E2952"/>
    <w:rsid w:val="00270854"/>
    <w:rsid w:val="002C0D4B"/>
    <w:rsid w:val="0067598F"/>
    <w:rsid w:val="00715ECE"/>
    <w:rsid w:val="00754133"/>
    <w:rsid w:val="007578A1"/>
    <w:rsid w:val="007A5383"/>
    <w:rsid w:val="007F1E9B"/>
    <w:rsid w:val="00864BFA"/>
    <w:rsid w:val="00876AD3"/>
    <w:rsid w:val="008D1493"/>
    <w:rsid w:val="00981167"/>
    <w:rsid w:val="00B87595"/>
    <w:rsid w:val="00E1062C"/>
    <w:rsid w:val="00FC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4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8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4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8D149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8D1493"/>
    <w:rPr>
      <w:color w:val="0000FF" w:themeColor="hyperlink"/>
      <w:u w:val="single"/>
    </w:rPr>
  </w:style>
  <w:style w:type="paragraph" w:customStyle="1" w:styleId="my-2">
    <w:name w:val="my-2"/>
    <w:basedOn w:val="a"/>
    <w:rsid w:val="001E2952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E2952"/>
    <w:rPr>
      <w:b/>
      <w:bCs/>
    </w:rPr>
  </w:style>
  <w:style w:type="paragraph" w:customStyle="1" w:styleId="doctext">
    <w:name w:val="doc__text"/>
    <w:basedOn w:val="a"/>
    <w:rsid w:val="001E295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2708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tent--common-blockblock-3u">
    <w:name w:val="content--common-block__block-3u"/>
    <w:basedOn w:val="a"/>
    <w:rsid w:val="00FC5FEE"/>
    <w:pPr>
      <w:spacing w:before="100" w:beforeAutospacing="1" w:after="100" w:afterAutospacing="1"/>
    </w:pPr>
  </w:style>
  <w:style w:type="character" w:customStyle="1" w:styleId="text">
    <w:name w:val="text"/>
    <w:basedOn w:val="a0"/>
    <w:rsid w:val="00754133"/>
  </w:style>
  <w:style w:type="character" w:customStyle="1" w:styleId="name">
    <w:name w:val="name"/>
    <w:basedOn w:val="a0"/>
    <w:rsid w:val="00754133"/>
  </w:style>
  <w:style w:type="character" w:customStyle="1" w:styleId="surname">
    <w:name w:val="surname"/>
    <w:basedOn w:val="a0"/>
    <w:rsid w:val="00754133"/>
  </w:style>
  <w:style w:type="paragraph" w:styleId="a6">
    <w:name w:val="Balloon Text"/>
    <w:basedOn w:val="a"/>
    <w:link w:val="a7"/>
    <w:uiPriority w:val="99"/>
    <w:semiHidden/>
    <w:unhideWhenUsed/>
    <w:rsid w:val="007541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4133"/>
    <w:rPr>
      <w:rFonts w:ascii="Tahoma" w:hAnsi="Tahoma" w:cs="Tahoma"/>
      <w:sz w:val="16"/>
      <w:szCs w:val="16"/>
    </w:rPr>
  </w:style>
  <w:style w:type="paragraph" w:customStyle="1" w:styleId="paragraphparagraphsxf1">
    <w:name w:val="paragraph_paragraph__sxf1_"/>
    <w:basedOn w:val="a"/>
    <w:rsid w:val="00864BFA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E1062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483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8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0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31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0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0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0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17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7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1330">
          <w:marLeft w:val="0"/>
          <w:marRight w:val="0"/>
          <w:marTop w:val="0"/>
          <w:marBottom w:val="3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32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5773">
              <w:blockQuote w:val="1"/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single" w:sz="12" w:space="12" w:color="306CB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a.ru/location_Kamchatskijj_krajj/" TargetMode="External"/><Relationship Id="rId13" Type="http://schemas.openxmlformats.org/officeDocument/2006/relationships/hyperlink" Target="https://ria.ru/20260406/putin-2085413683.html?ysclid=mnwvxq37fn815312167" TargetMode="External"/><Relationship Id="rId18" Type="http://schemas.openxmlformats.org/officeDocument/2006/relationships/hyperlink" Target="https://regulation.gov.ru/projects/166217/" TargetMode="External"/><Relationship Id="rId26" Type="http://schemas.openxmlformats.org/officeDocument/2006/relationships/hyperlink" Target="https://sozd.duma.gov.ru/bill/1197129-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dvestnik.ru/content/documents/365-ot-2-04-2026.html" TargetMode="External"/><Relationship Id="rId34" Type="http://schemas.openxmlformats.org/officeDocument/2006/relationships/hyperlink" Target="https://medvestnik.ru/content/news/Centr-sudmedekspertizy-Minzdrava-raskryl-statistiku-po-ugolovnym-delam-pediatrov-i-akusherov.html" TargetMode="External"/><Relationship Id="rId7" Type="http://schemas.openxmlformats.org/officeDocument/2006/relationships/hyperlink" Target="https://ria.ru/location_Karelija/" TargetMode="External"/><Relationship Id="rId12" Type="http://schemas.openxmlformats.org/officeDocument/2006/relationships/hyperlink" Target="https://ria.ru/person/mikhail-mishustin/" TargetMode="External"/><Relationship Id="rId17" Type="http://schemas.openxmlformats.org/officeDocument/2006/relationships/hyperlink" Target="https://vademec.ru/article/teoriya_i_praktika_marksizma-ellinizma-_kak_ukreplyalis_moshch_i_status_uchastnikov_reytinga_vademec/" TargetMode="External"/><Relationship Id="rId25" Type="http://schemas.openxmlformats.org/officeDocument/2006/relationships/hyperlink" Target="https://ria.ru/20260406/gosduma-2085363057.html" TargetMode="External"/><Relationship Id="rId33" Type="http://schemas.openxmlformats.org/officeDocument/2006/relationships/hyperlink" Target="https://medvestnik.ru/content/news/Sledstvennyi-komitet-soobshil-o-neznachitelnom-snijenii-chastoty-ugolovnogo-presledovaniya-vrachei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vademec.ru/news/2026/01/12/utverzhdena-programma-gosgarantiy-na-2026-god-glavnoe/" TargetMode="External"/><Relationship Id="rId20" Type="http://schemas.openxmlformats.org/officeDocument/2006/relationships/hyperlink" Target="https://vademec.ru/news/2026/03/12/minzdrav-rasshirit-perechen-eksklyuzivnykh-napravleniy-vmp/" TargetMode="External"/><Relationship Id="rId29" Type="http://schemas.openxmlformats.org/officeDocument/2006/relationships/hyperlink" Target="https://medvestnik.ru/content/news/sotrudnikam-skoroi-pomoshi-predlojili-dat-pravo-na-dosrochnuu-pensiu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kremlin.ru/acts/assignments/orders/79469" TargetMode="External"/><Relationship Id="rId11" Type="http://schemas.openxmlformats.org/officeDocument/2006/relationships/hyperlink" Target="https://ria.ru/location_rossiyskaya-federatsiya/" TargetMode="External"/><Relationship Id="rId24" Type="http://schemas.openxmlformats.org/officeDocument/2006/relationships/hyperlink" Target="https://medvestnik.ru/content/news/pravitelstvo-rf-vkluchilo-terapiu-onkovakcinami-v-oms.html" TargetMode="External"/><Relationship Id="rId32" Type="http://schemas.openxmlformats.org/officeDocument/2006/relationships/hyperlink" Target="https://medvestnik.ru/content/news/urist-soobshil-ob-usilenii-davleniya-pravoohranitelei-na-medicinskih-rabotnikov.html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vademec.ru/news/2025/11/21/minzdrav-razreshil-primenenie-dvukh-vaktsin-protiv-raka/" TargetMode="External"/><Relationship Id="rId23" Type="http://schemas.openxmlformats.org/officeDocument/2006/relationships/hyperlink" Target="https://medvestnik.ru/content/news/v-rossii-nachalos-primenenie-vakciny-dlya-lecheniya-melanomy.html" TargetMode="External"/><Relationship Id="rId28" Type="http://schemas.openxmlformats.org/officeDocument/2006/relationships/hyperlink" Target="https://medvestnik.ru/content/news/V-Gosdume-predlojili-povysit-pensiu-medrabotnikam-v-selskoi-mestnosti-na-25.htm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ria.ru/location_Evrejjskaja_avtonomnaja_oblast/" TargetMode="External"/><Relationship Id="rId19" Type="http://schemas.openxmlformats.org/officeDocument/2006/relationships/hyperlink" Target="http://publication.pravo.gov.ru/document/0001202604060029?index=1" TargetMode="External"/><Relationship Id="rId31" Type="http://schemas.openxmlformats.org/officeDocument/2006/relationships/hyperlink" Target="https://medvestnik.ru/content/news/byvshii-sledovatel-dal-sovety-vracham-o-pravilnom-povedenii-na-doprose.html?utm_source=main&amp;utm_medium=center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a.ru/location_CHeljabinskaja_oblast/" TargetMode="External"/><Relationship Id="rId14" Type="http://schemas.openxmlformats.org/officeDocument/2006/relationships/hyperlink" Target="https://vademec.ru/news/2025/01/21/obyavleny-nekotorye-rezultaty-ki-pervogo-otechestvenno-car-t-preparata/" TargetMode="External"/><Relationship Id="rId22" Type="http://schemas.openxmlformats.org/officeDocument/2006/relationships/hyperlink" Target="https://medvestnik.ru/content/news/minzdrav-rf-nazval-tarify-na-terapiu-onkovakcinami-v-oms.html" TargetMode="External"/><Relationship Id="rId27" Type="http://schemas.openxmlformats.org/officeDocument/2006/relationships/hyperlink" Target="https://medvestnik.ru/content/news/v-gosdumu-rf-vnesli-zakonoproekt-o-povyshennyh-pensiyah-dlya-medrabotnikov.html" TargetMode="External"/><Relationship Id="rId30" Type="http://schemas.openxmlformats.org/officeDocument/2006/relationships/hyperlink" Target="https://t.me/medmediator_zds/351" TargetMode="External"/><Relationship Id="rId35" Type="http://schemas.openxmlformats.org/officeDocument/2006/relationships/hyperlink" Target="https://medvestnik.ru/content/news/byvshii-sledovatel-dal-sovety-vracham-po-pravilnomu-povedeniu-v-statuse-obvinyaemog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LenaPC</dc:creator>
  <cp:lastModifiedBy>администратор10</cp:lastModifiedBy>
  <cp:revision>3</cp:revision>
  <dcterms:created xsi:type="dcterms:W3CDTF">2026-04-14T13:44:00Z</dcterms:created>
  <dcterms:modified xsi:type="dcterms:W3CDTF">2026-04-14T13:56:00Z</dcterms:modified>
</cp:coreProperties>
</file>