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78" w:rsidRPr="00F47459" w:rsidRDefault="00470A78" w:rsidP="00470A78">
      <w:pPr>
        <w:jc w:val="center"/>
        <w:rPr>
          <w:rFonts w:ascii="Calibri" w:hAnsi="Calibri" w:cs="Calibri"/>
          <w:b/>
          <w:sz w:val="24"/>
          <w:szCs w:val="24"/>
        </w:rPr>
      </w:pPr>
      <w:r w:rsidRPr="00F47459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4337DF36" wp14:editId="517AFBCC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459">
        <w:rPr>
          <w:rFonts w:ascii="Calibri" w:hAnsi="Calibri" w:cs="Calibri"/>
          <w:b/>
          <w:sz w:val="24"/>
          <w:szCs w:val="24"/>
        </w:rPr>
        <w:t xml:space="preserve"> </w:t>
      </w:r>
    </w:p>
    <w:p w:rsidR="00470A78" w:rsidRPr="00F47459" w:rsidRDefault="00470A78" w:rsidP="00470A78">
      <w:pPr>
        <w:jc w:val="center"/>
        <w:rPr>
          <w:rFonts w:ascii="Calibri" w:hAnsi="Calibri" w:cs="Calibri"/>
          <w:b/>
          <w:sz w:val="24"/>
          <w:szCs w:val="24"/>
        </w:rPr>
      </w:pPr>
    </w:p>
    <w:p w:rsidR="00470A78" w:rsidRPr="00F47459" w:rsidRDefault="00470A78" w:rsidP="00470A78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47459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470A78" w:rsidRPr="00F47459" w:rsidRDefault="00470A78" w:rsidP="00470A78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47459">
        <w:rPr>
          <w:rFonts w:ascii="Calibri" w:hAnsi="Calibri" w:cs="Calibri"/>
          <w:b/>
          <w:color w:val="FF0000"/>
          <w:sz w:val="24"/>
          <w:szCs w:val="24"/>
        </w:rPr>
        <w:t xml:space="preserve">(период с </w:t>
      </w:r>
      <w:r>
        <w:rPr>
          <w:rFonts w:ascii="Calibri" w:hAnsi="Calibri" w:cs="Calibri"/>
          <w:b/>
          <w:color w:val="FF0000"/>
          <w:sz w:val="24"/>
          <w:szCs w:val="24"/>
        </w:rPr>
        <w:t>8</w:t>
      </w:r>
      <w:r w:rsidRPr="00F47459">
        <w:rPr>
          <w:rFonts w:ascii="Calibri" w:hAnsi="Calibri" w:cs="Calibri"/>
          <w:b/>
          <w:color w:val="FF0000"/>
          <w:sz w:val="24"/>
          <w:szCs w:val="24"/>
        </w:rPr>
        <w:t xml:space="preserve">  по </w:t>
      </w:r>
      <w:r>
        <w:rPr>
          <w:rFonts w:ascii="Calibri" w:hAnsi="Calibri" w:cs="Calibri"/>
          <w:b/>
          <w:color w:val="FF0000"/>
          <w:sz w:val="24"/>
          <w:szCs w:val="24"/>
        </w:rPr>
        <w:t>14</w:t>
      </w:r>
      <w:bookmarkStart w:id="0" w:name="_GoBack"/>
      <w:bookmarkEnd w:id="0"/>
      <w:r w:rsidRPr="00F47459">
        <w:rPr>
          <w:rFonts w:ascii="Calibri" w:hAnsi="Calibri" w:cs="Calibri"/>
          <w:b/>
          <w:color w:val="FF0000"/>
          <w:sz w:val="24"/>
          <w:szCs w:val="24"/>
        </w:rPr>
        <w:t xml:space="preserve"> июня 2026 года)</w:t>
      </w:r>
    </w:p>
    <w:p w:rsidR="00470A78" w:rsidRPr="00F47459" w:rsidRDefault="00470A78" w:rsidP="00470A7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B93A76" w:rsidRDefault="00B93A76" w:rsidP="00B93A76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05603A" w:rsidRPr="00B93A76" w:rsidRDefault="00B93A76" w:rsidP="00B93A76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B93A76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05603A" w:rsidRPr="00B93A76" w:rsidRDefault="0005603A" w:rsidP="00B93A76">
      <w:pPr>
        <w:jc w:val="both"/>
        <w:rPr>
          <w:rFonts w:ascii="Calibri" w:hAnsi="Calibri" w:cs="Calibri"/>
          <w:b/>
          <w:sz w:val="24"/>
          <w:szCs w:val="24"/>
        </w:rPr>
      </w:pPr>
      <w:r w:rsidRPr="00B93A76">
        <w:rPr>
          <w:rFonts w:ascii="Calibri" w:hAnsi="Calibri" w:cs="Calibri"/>
          <w:b/>
          <w:sz w:val="24"/>
          <w:szCs w:val="24"/>
        </w:rPr>
        <w:t>Минздрав РФ увеличил число медицинских специальностей до 155</w:t>
      </w:r>
    </w:p>
    <w:p w:rsidR="0005603A" w:rsidRPr="00B93A76" w:rsidRDefault="0005603A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 xml:space="preserve">В России приняли новый перечень медицинских специальностей, в котором теперь насчитывается 155 позиций. В номенклатуру </w:t>
      </w:r>
      <w:proofErr w:type="gramStart"/>
      <w:r w:rsidRPr="00B93A76">
        <w:rPr>
          <w:rFonts w:ascii="Calibri" w:hAnsi="Calibri" w:cs="Calibri"/>
          <w:sz w:val="24"/>
          <w:szCs w:val="24"/>
        </w:rPr>
        <w:t>внесены в частности</w:t>
      </w:r>
      <w:proofErr w:type="gramEnd"/>
      <w:r w:rsidRPr="00B93A76">
        <w:rPr>
          <w:rFonts w:ascii="Calibri" w:hAnsi="Calibri" w:cs="Calibri"/>
          <w:sz w:val="24"/>
          <w:szCs w:val="24"/>
        </w:rPr>
        <w:t xml:space="preserve"> медицинская биология, медицинская логопедия, медицинская физика, медицинский массаж и аналитическая токсикология.</w:t>
      </w:r>
    </w:p>
    <w:p w:rsidR="0005603A" w:rsidRPr="00B93A76" w:rsidRDefault="0005603A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Минюст РФ </w:t>
      </w:r>
      <w:hyperlink r:id="rId8" w:history="1">
        <w:r w:rsidRPr="00B93A76">
          <w:rPr>
            <w:rStyle w:val="a3"/>
            <w:rFonts w:ascii="Calibri" w:hAnsi="Calibri" w:cs="Calibri"/>
            <w:color w:val="E1442F"/>
            <w:sz w:val="24"/>
            <w:szCs w:val="24"/>
          </w:rPr>
          <w:t>утвердил</w:t>
        </w:r>
      </w:hyperlink>
      <w:r w:rsidRPr="00B93A76">
        <w:rPr>
          <w:rFonts w:ascii="Calibri" w:hAnsi="Calibri" w:cs="Calibri"/>
          <w:sz w:val="24"/>
          <w:szCs w:val="24"/>
        </w:rPr>
        <w:t> новую номенклатуру специальностей высшего и среднего медицинского и фармацевтического образования. Приказ Минздрава РФ № 435н от 14.05.2026 (</w:t>
      </w:r>
      <w:hyperlink r:id="rId9" w:history="1">
        <w:r w:rsidRPr="00B93A76">
          <w:rPr>
            <w:rStyle w:val="a3"/>
            <w:rFonts w:ascii="Calibri" w:hAnsi="Calibri" w:cs="Calibri"/>
            <w:color w:val="E1442F"/>
            <w:sz w:val="24"/>
            <w:szCs w:val="24"/>
          </w:rPr>
          <w:t>доступен на «МВ»</w:t>
        </w:r>
      </w:hyperlink>
      <w:r w:rsidRPr="00B93A76">
        <w:rPr>
          <w:rFonts w:ascii="Calibri" w:hAnsi="Calibri" w:cs="Calibri"/>
          <w:sz w:val="24"/>
          <w:szCs w:val="24"/>
        </w:rPr>
        <w:t>) расширил перечень специальностей высшего образования до 118 позиций, среднего — до 37.</w:t>
      </w:r>
    </w:p>
    <w:p w:rsidR="0005603A" w:rsidRPr="00B93A76" w:rsidRDefault="0005603A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 xml:space="preserve">В список </w:t>
      </w:r>
      <w:proofErr w:type="gramStart"/>
      <w:r w:rsidRPr="00B93A76">
        <w:rPr>
          <w:rFonts w:ascii="Calibri" w:hAnsi="Calibri" w:cs="Calibri"/>
          <w:sz w:val="24"/>
          <w:szCs w:val="24"/>
        </w:rPr>
        <w:t>включены в частности</w:t>
      </w:r>
      <w:proofErr w:type="gramEnd"/>
      <w:r w:rsidRPr="00B93A76">
        <w:rPr>
          <w:rFonts w:ascii="Calibri" w:hAnsi="Calibri" w:cs="Calibri"/>
          <w:sz w:val="24"/>
          <w:szCs w:val="24"/>
        </w:rPr>
        <w:t xml:space="preserve"> такие направления, как медико-социальная экспертиза, медицинская биология, медицинская логопедия, медицинская зоология, медицинская психология, медицинская физика, медицинская эмбриология, медицинский массаж, </w:t>
      </w:r>
      <w:proofErr w:type="spellStart"/>
      <w:r w:rsidRPr="00B93A76">
        <w:rPr>
          <w:rFonts w:ascii="Calibri" w:hAnsi="Calibri" w:cs="Calibri"/>
          <w:sz w:val="24"/>
          <w:szCs w:val="24"/>
        </w:rPr>
        <w:t>нутрициология</w:t>
      </w:r>
      <w:proofErr w:type="spellEnd"/>
      <w:r w:rsidRPr="00B93A76">
        <w:rPr>
          <w:rFonts w:ascii="Calibri" w:hAnsi="Calibri" w:cs="Calibri"/>
          <w:sz w:val="24"/>
          <w:szCs w:val="24"/>
        </w:rPr>
        <w:t xml:space="preserve">, нейропсихология, аналитическая токсикология, </w:t>
      </w:r>
      <w:proofErr w:type="spellStart"/>
      <w:r w:rsidRPr="00B93A76">
        <w:rPr>
          <w:rFonts w:ascii="Calibri" w:hAnsi="Calibri" w:cs="Calibri"/>
          <w:sz w:val="24"/>
          <w:szCs w:val="24"/>
        </w:rPr>
        <w:t>эргореабилитация</w:t>
      </w:r>
      <w:proofErr w:type="spellEnd"/>
      <w:r w:rsidRPr="00B93A76">
        <w:rPr>
          <w:rFonts w:ascii="Calibri" w:hAnsi="Calibri" w:cs="Calibri"/>
          <w:sz w:val="24"/>
          <w:szCs w:val="24"/>
        </w:rPr>
        <w:t>, а также судебная экспертиза. Последняя специальность появилась в дополнение к уже имеющимся судебно-медицинской экспертизе и судебно-психиатрической экспертизе.</w:t>
      </w:r>
    </w:p>
    <w:p w:rsidR="0005603A" w:rsidRPr="00B93A76" w:rsidRDefault="0005603A" w:rsidP="00B93A76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При этом некоторые специальности будут упразднены. Речь идет о таких специалистах, как врачи-сексологи, бактериологи, вирусологи и подростковые психиатры.</w:t>
      </w:r>
    </w:p>
    <w:p w:rsidR="0005603A" w:rsidRPr="00B93A76" w:rsidRDefault="0005603A" w:rsidP="00B93A76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 xml:space="preserve">В перечень специальностей среднего </w:t>
      </w:r>
      <w:proofErr w:type="spellStart"/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медобразования</w:t>
      </w:r>
      <w:proofErr w:type="spellEnd"/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 xml:space="preserve"> добавлены «Стоматологическое дело» вместо «Стоматологии», «Медицинская микробиология» и «</w:t>
      </w:r>
      <w:proofErr w:type="spellStart"/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Нутрициология</w:t>
      </w:r>
      <w:proofErr w:type="spellEnd"/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».</w:t>
      </w:r>
    </w:p>
    <w:p w:rsidR="0005603A" w:rsidRPr="00B93A76" w:rsidRDefault="0005603A" w:rsidP="00B93A76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Изменения вступят в силу с 1 сентября 2026 года.</w:t>
      </w:r>
    </w:p>
    <w:p w:rsidR="0005603A" w:rsidRPr="00B93A76" w:rsidRDefault="0005603A" w:rsidP="00B93A76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По </w:t>
      </w:r>
      <w:hyperlink r:id="rId10" w:history="1">
        <w:r w:rsidRPr="00B93A76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мнению экспертов</w:t>
        </w:r>
      </w:hyperlink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 xml:space="preserve">, изменения в номенклатуре медицинских должностей и специальностей продиктованы временем, а медпомощь не станет хуже из-за исключения </w:t>
      </w:r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некоторых направлений, потому что эти функции возьмут на себя близкие по функционалу специалисты, писал «МВ». Но, как заявил сопредседатель Всероссийского союза пациентов (ВСП) </w:t>
      </w:r>
      <w:hyperlink r:id="rId11" w:history="1">
        <w:r w:rsidRPr="00B93A76">
          <w:rPr>
            <w:rFonts w:ascii="Calibri" w:eastAsia="Times New Roman" w:hAnsi="Calibri" w:cs="Calibri"/>
            <w:b/>
            <w:bCs/>
            <w:color w:val="E1442F"/>
            <w:sz w:val="24"/>
            <w:szCs w:val="24"/>
            <w:lang w:eastAsia="ru-RU"/>
          </w:rPr>
          <w:t>Ян Власов</w:t>
        </w:r>
      </w:hyperlink>
      <w:r w:rsidRPr="00B93A76">
        <w:rPr>
          <w:rFonts w:ascii="Calibri" w:eastAsia="Times New Roman" w:hAnsi="Calibri" w:cs="Calibri"/>
          <w:sz w:val="24"/>
          <w:szCs w:val="24"/>
          <w:lang w:eastAsia="ru-RU"/>
        </w:rPr>
        <w:t>, излишняя детализация медицинских профилей может усложнить подготовку и трудоустройство врачей.</w:t>
      </w:r>
    </w:p>
    <w:p w:rsidR="0005603A" w:rsidRPr="00B93A76" w:rsidRDefault="00197917" w:rsidP="00B93A76">
      <w:pPr>
        <w:jc w:val="both"/>
        <w:rPr>
          <w:rFonts w:ascii="Calibri" w:hAnsi="Calibri" w:cs="Calibri"/>
          <w:sz w:val="24"/>
          <w:szCs w:val="24"/>
        </w:rPr>
      </w:pPr>
      <w:hyperlink r:id="rId12" w:history="1">
        <w:r w:rsidR="0005603A" w:rsidRPr="00B93A76">
          <w:rPr>
            <w:rStyle w:val="a3"/>
            <w:rFonts w:ascii="Calibri" w:hAnsi="Calibri" w:cs="Calibri"/>
            <w:sz w:val="24"/>
            <w:szCs w:val="24"/>
          </w:rPr>
          <w:t>https://medvestnik.ru/content/news/minzdrav-rf-uvelichil-chislo-medicinskih-specialnostei-do-155.html</w:t>
        </w:r>
      </w:hyperlink>
    </w:p>
    <w:p w:rsidR="00B93A76" w:rsidRPr="00B93A76" w:rsidRDefault="00B93A76" w:rsidP="00B93A76">
      <w:pPr>
        <w:jc w:val="both"/>
        <w:rPr>
          <w:rFonts w:ascii="Calibri" w:hAnsi="Calibri" w:cs="Calibri"/>
          <w:b/>
          <w:sz w:val="24"/>
          <w:szCs w:val="24"/>
        </w:rPr>
      </w:pPr>
      <w:r w:rsidRPr="00B93A76">
        <w:rPr>
          <w:rFonts w:ascii="Calibri" w:hAnsi="Calibri" w:cs="Calibri"/>
          <w:b/>
          <w:sz w:val="24"/>
          <w:szCs w:val="24"/>
        </w:rPr>
        <w:t>ФОМС предложил единые правила расчета расходов территориальных фондов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Федеральный фонд ОМС разработал новые правила расчета и согласования расходов территориальных фондов. Документ начнут применять при формировании бюджета на 2027—2029 годы.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Федеральный фонд ОМС (ФОМС) подготовил </w:t>
      </w:r>
      <w:hyperlink r:id="rId13" w:tgtFrame="_blank" w:history="1">
        <w:r w:rsidRPr="00B93A76">
          <w:rPr>
            <w:rStyle w:val="a3"/>
            <w:rFonts w:ascii="Calibri" w:hAnsi="Calibri" w:cs="Calibri"/>
            <w:color w:val="E1442F"/>
            <w:sz w:val="24"/>
            <w:szCs w:val="24"/>
          </w:rPr>
          <w:t>проект</w:t>
        </w:r>
      </w:hyperlink>
      <w:r w:rsidRPr="00B93A76">
        <w:rPr>
          <w:rFonts w:ascii="Calibri" w:hAnsi="Calibri" w:cs="Calibri"/>
          <w:sz w:val="24"/>
          <w:szCs w:val="24"/>
        </w:rPr>
        <w:t> приказа, устанавливающий единые правила согласования и расчета нормативов расходов территориальных фондов (ТФОМС). Он определяет порядок формирования и обоснования затрат, перечень обязательных документов, а также сроки рассмотрения заявок. Документ призван стандартизировать бюджетное планирование на следующий финансовый цикл — 2027 год и плановый период 2028—2029 годов.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Так, ФОМС ежегодно не позднее пяти рабочих дней после получения прогноза социально</w:t>
      </w:r>
      <w:r w:rsidRPr="00B93A76">
        <w:rPr>
          <w:rFonts w:ascii="Calibri" w:hAnsi="Calibri" w:cs="Calibri"/>
          <w:sz w:val="24"/>
          <w:szCs w:val="24"/>
        </w:rPr>
        <w:noBreakHyphen/>
        <w:t>экономического развития РФ доводит до территориальных фондов перечень необходимых документов и сроки подачи проекта норматива. На его подготовку ТФОМС отводится месяц. Проект норматива должен сопровождаться пояснительной запиской, прогнозом социально</w:t>
      </w:r>
      <w:r w:rsidRPr="00B93A76">
        <w:rPr>
          <w:rFonts w:ascii="Calibri" w:hAnsi="Calibri" w:cs="Calibri"/>
          <w:sz w:val="24"/>
          <w:szCs w:val="24"/>
        </w:rPr>
        <w:noBreakHyphen/>
        <w:t>экономического развития региона, нормативными актами субъекта, обосновывающими планируемые расходы ТФОМС на выполнение его функций, в том числе предельную численность сотрудников, фонд оплаты труда, порядок командировочных выплат, компенсации на проезд.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ФОМС согласует норматив в течение 30 рабочих дней, но может отправить на доработку с указанием причин. Если проект не будет согласован, применяется норматив, утвержденный законом о бюджете ТФОМС на отчетный год.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Отдельно регламентированы требования к расчетам расходов — на оплату труда работников ТФОМС, прочие выплаты, расходы на услуги связи, транспортные и коммунальные услуги, аренду и содержание имущества, а также приобретение основных средств и материальных запасов. Для них предусмотрены специальные формулы. Например, для оплаты труда ФОМС предлагает использовать в качестве переменных штатную численность работников, должностной оклад, ежемесячные выплаты, средства на выплаты районных коэффициентов и процентных надбавок, количество месяцев в году.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 xml:space="preserve">Последний раздел документа посвящен ненормируемым расходам, к которым относятся услуги на организацию и оплату медико-экономической экспертизы и экспертизы качества медицинской помощи, товары, работы и услуги в области </w:t>
      </w:r>
      <w:r w:rsidRPr="00B93A76">
        <w:rPr>
          <w:rFonts w:ascii="Calibri" w:hAnsi="Calibri" w:cs="Calibri"/>
          <w:sz w:val="24"/>
          <w:szCs w:val="24"/>
        </w:rPr>
        <w:lastRenderedPageBreak/>
        <w:t>информационной безопасности и информационно-коммуникационных технологий, например, модернизация автоматизированной информационной системы). Для согласования таких расходов надо предоставить обоснование с указанием нормативных правовых актов, не менее трех коммерческих предложений поставщиков, документов, подтверждающих необходимость приобретения товаров, работ и услуг.</w:t>
      </w:r>
    </w:p>
    <w:p w:rsidR="00B93A76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В конце мая председатель ФОМС </w:t>
      </w:r>
      <w:hyperlink r:id="rId14" w:history="1">
        <w:r w:rsidRPr="00B93A76">
          <w:rPr>
            <w:rStyle w:val="a7"/>
            <w:rFonts w:ascii="Calibri" w:hAnsi="Calibri" w:cs="Calibri"/>
            <w:color w:val="E1442F"/>
            <w:sz w:val="24"/>
            <w:szCs w:val="24"/>
          </w:rPr>
          <w:t xml:space="preserve">Илья </w:t>
        </w:r>
        <w:proofErr w:type="spellStart"/>
        <w:r w:rsidRPr="00B93A76">
          <w:rPr>
            <w:rStyle w:val="a7"/>
            <w:rFonts w:ascii="Calibri" w:hAnsi="Calibri" w:cs="Calibri"/>
            <w:color w:val="E1442F"/>
            <w:sz w:val="24"/>
            <w:szCs w:val="24"/>
          </w:rPr>
          <w:t>Баланин</w:t>
        </w:r>
        <w:proofErr w:type="spellEnd"/>
      </w:hyperlink>
      <w:r w:rsidRPr="00B93A76">
        <w:rPr>
          <w:rFonts w:ascii="Calibri" w:hAnsi="Calibri" w:cs="Calibri"/>
          <w:sz w:val="24"/>
          <w:szCs w:val="24"/>
        </w:rPr>
        <w:t> встречался с премьер-министром РФ </w:t>
      </w:r>
      <w:r w:rsidRPr="00B93A76">
        <w:rPr>
          <w:rStyle w:val="a7"/>
          <w:rFonts w:ascii="Calibri" w:hAnsi="Calibri" w:cs="Calibri"/>
          <w:color w:val="1A1B1D"/>
          <w:sz w:val="24"/>
          <w:szCs w:val="24"/>
        </w:rPr>
        <w:t xml:space="preserve">Михаилом </w:t>
      </w:r>
      <w:proofErr w:type="spellStart"/>
      <w:r w:rsidRPr="00B93A76">
        <w:rPr>
          <w:rStyle w:val="a7"/>
          <w:rFonts w:ascii="Calibri" w:hAnsi="Calibri" w:cs="Calibri"/>
          <w:color w:val="1A1B1D"/>
          <w:sz w:val="24"/>
          <w:szCs w:val="24"/>
        </w:rPr>
        <w:t>Мишустиным</w:t>
      </w:r>
      <w:proofErr w:type="spellEnd"/>
      <w:r w:rsidRPr="00B93A76">
        <w:rPr>
          <w:rStyle w:val="a7"/>
          <w:rFonts w:ascii="Calibri" w:hAnsi="Calibri" w:cs="Calibri"/>
          <w:color w:val="1A1B1D"/>
          <w:sz w:val="24"/>
          <w:szCs w:val="24"/>
        </w:rPr>
        <w:t>,</w:t>
      </w:r>
      <w:r w:rsidRPr="00B93A76">
        <w:rPr>
          <w:rFonts w:ascii="Calibri" w:hAnsi="Calibri" w:cs="Calibri"/>
          <w:sz w:val="24"/>
          <w:szCs w:val="24"/>
        </w:rPr>
        <w:t> и тот </w:t>
      </w:r>
      <w:hyperlink r:id="rId15" w:history="1">
        <w:r w:rsidRPr="00B93A76">
          <w:rPr>
            <w:rStyle w:val="a3"/>
            <w:rFonts w:ascii="Calibri" w:hAnsi="Calibri" w:cs="Calibri"/>
            <w:color w:val="E1442F"/>
            <w:sz w:val="24"/>
            <w:szCs w:val="24"/>
          </w:rPr>
          <w:t>попросил главу ФОМС</w:t>
        </w:r>
      </w:hyperlink>
      <w:r w:rsidRPr="00B93A76">
        <w:rPr>
          <w:rFonts w:ascii="Calibri" w:hAnsi="Calibri" w:cs="Calibri"/>
          <w:sz w:val="24"/>
          <w:szCs w:val="24"/>
        </w:rPr>
        <w:t xml:space="preserve"> внимательно следить за тем, как регионы выполняют майские указы по зарплатам медработников. Все обязательства перед врачами, фельдшерами, медсестрами должны выполняться в полном объеме, подчеркнул глава </w:t>
      </w:r>
      <w:proofErr w:type="spellStart"/>
      <w:r w:rsidRPr="00B93A76">
        <w:rPr>
          <w:rFonts w:ascii="Calibri" w:hAnsi="Calibri" w:cs="Calibri"/>
          <w:sz w:val="24"/>
          <w:szCs w:val="24"/>
        </w:rPr>
        <w:t>кабмина</w:t>
      </w:r>
      <w:proofErr w:type="spellEnd"/>
      <w:r w:rsidRPr="00B93A76">
        <w:rPr>
          <w:rFonts w:ascii="Calibri" w:hAnsi="Calibri" w:cs="Calibri"/>
          <w:sz w:val="24"/>
          <w:szCs w:val="24"/>
        </w:rPr>
        <w:t>.</w:t>
      </w:r>
    </w:p>
    <w:p w:rsidR="0005603A" w:rsidRPr="00B93A76" w:rsidRDefault="00B93A76" w:rsidP="00B93A76">
      <w:pPr>
        <w:jc w:val="both"/>
        <w:rPr>
          <w:rFonts w:ascii="Calibri" w:hAnsi="Calibri" w:cs="Calibri"/>
          <w:sz w:val="24"/>
          <w:szCs w:val="24"/>
        </w:rPr>
      </w:pPr>
      <w:hyperlink r:id="rId16" w:history="1">
        <w:r w:rsidRPr="00B93A76">
          <w:rPr>
            <w:rStyle w:val="a3"/>
            <w:rFonts w:ascii="Calibri" w:hAnsi="Calibri" w:cs="Calibri"/>
            <w:sz w:val="24"/>
            <w:szCs w:val="24"/>
          </w:rPr>
          <w:t>https://medvestnik.ru/content/news/foms-predlojil-edinye-pravila-rascheta-rashodov-territorialnyh-fondov.html</w:t>
        </w:r>
      </w:hyperlink>
    </w:p>
    <w:p w:rsidR="004C0163" w:rsidRPr="00B93A76" w:rsidRDefault="00B93A76" w:rsidP="00B93A76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B93A76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B93A76" w:rsidRPr="00B93A76" w:rsidRDefault="00B93A76" w:rsidP="00B93A76">
      <w:pPr>
        <w:rPr>
          <w:rFonts w:ascii="Calibri" w:hAnsi="Calibri" w:cs="Calibri"/>
          <w:b/>
          <w:sz w:val="24"/>
          <w:szCs w:val="24"/>
        </w:rPr>
      </w:pPr>
      <w:r w:rsidRPr="00B93A76">
        <w:rPr>
          <w:rFonts w:ascii="Calibri" w:hAnsi="Calibri" w:cs="Calibri"/>
          <w:b/>
          <w:sz w:val="24"/>
          <w:szCs w:val="24"/>
        </w:rPr>
        <w:t>В регионах самостоятельно детализируют доплаты врачам-наставникам и условия их работы</w:t>
      </w:r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Минздрав Башкирии одним из первых разработал региональное положение об организации наставничества. В нем исчерпывающе описаны условия работы и оплата труда врачей-наставников, права и обязанности прикрепляемых к ним специалистов, а также дистанционные форматы работы.</w:t>
      </w:r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Опытные врачи-наставники в Башкирии будут дополнительно получать прибавку в размере 15% от должностного оклада. Размер доплат установлен в </w:t>
      </w:r>
      <w:hyperlink r:id="rId17" w:tgtFrame="_blank" w:history="1">
        <w:r w:rsidRPr="00B93A76">
          <w:rPr>
            <w:rStyle w:val="a3"/>
            <w:rFonts w:ascii="Calibri" w:hAnsi="Calibri" w:cs="Calibri"/>
            <w:color w:val="E1442F"/>
            <w:sz w:val="24"/>
            <w:szCs w:val="24"/>
          </w:rPr>
          <w:t>проекте приказа </w:t>
        </w:r>
      </w:hyperlink>
      <w:r w:rsidRPr="00B93A76">
        <w:rPr>
          <w:rFonts w:ascii="Calibri" w:hAnsi="Calibri" w:cs="Calibri"/>
          <w:sz w:val="24"/>
          <w:szCs w:val="24"/>
        </w:rPr>
        <w:t>об организации наставничества в учреждениях здравоохранения, подведомственных Минздраву республики, с которым ознакомился «МВ».</w:t>
      </w:r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>Для выполнения функций врача-наставника требуется письменное согласие специалиста (что было прописано на федеральном уровне). Размер вознаграждения за наставничество может быть определен в абсолютной сумме или в относительной, например, в виде доли от оклада. Оплата труда зависит от должности. У руководителей она учитывается в окладе, но дополнительно им могут быть установлены стимулирующие выплаты по результатам, например, за небольшое число ошибок в работе молодых специалистов и увеличение положительных отзывов пациентов.</w:t>
      </w:r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t xml:space="preserve">В случае если наставничество — это дополнительное поручение работодателя, размеры и условия выплат следует определять в трудовом договоре или дополнительном соглашении к нему в соответствии с действующими у работодателя системами оплаты труда с учетом содержания и объема работы. Могут использоваться и другие способы материальной мотивации: расширенный </w:t>
      </w:r>
      <w:proofErr w:type="spellStart"/>
      <w:r w:rsidRPr="00B93A76">
        <w:rPr>
          <w:rFonts w:ascii="Calibri" w:hAnsi="Calibri" w:cs="Calibri"/>
          <w:sz w:val="24"/>
          <w:szCs w:val="24"/>
        </w:rPr>
        <w:t>соцпакет</w:t>
      </w:r>
      <w:proofErr w:type="spellEnd"/>
      <w:r w:rsidRPr="00B93A76">
        <w:rPr>
          <w:rFonts w:ascii="Calibri" w:hAnsi="Calibri" w:cs="Calibri"/>
          <w:sz w:val="24"/>
          <w:szCs w:val="24"/>
        </w:rPr>
        <w:t>, матпомощь или предоставление дополнительных дней оплачиваемого отпуска. Результаты работы наставника также учитываются при проведении его аттестации, продвижении по службе, нематериальном стимулировании.</w:t>
      </w:r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  <w:r w:rsidRPr="00B93A76">
        <w:rPr>
          <w:rFonts w:ascii="Calibri" w:hAnsi="Calibri" w:cs="Calibri"/>
          <w:sz w:val="24"/>
          <w:szCs w:val="24"/>
        </w:rPr>
        <w:lastRenderedPageBreak/>
        <w:t>Документ уточняет, что именно считать результатом эффективной работы наставника. В списке — «освоение и использование наставляемым в практической деятельности нормативных правовых актов, регламентирующих исполнение должностных обязанностей», «умение применять полученные теоретические знания в служебной деятельности», «положительная мотивация к профессиональному развитию, самостоятельность и инициативность в служебной деятельности», «самостоятельность при принятии решений и выполнении им должностных обязанностей», «дисциплинированность и исполнительность при выполнении распоряжений и указаний, связанных со служебной деятельностью».</w:t>
      </w:r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  <w:hyperlink r:id="rId18" w:history="1">
        <w:r w:rsidRPr="00B93A76">
          <w:rPr>
            <w:rStyle w:val="a3"/>
            <w:rFonts w:ascii="Calibri" w:hAnsi="Calibri" w:cs="Calibri"/>
            <w:sz w:val="24"/>
            <w:szCs w:val="24"/>
          </w:rPr>
          <w:t>https://medvestnik.ru/content/news/v-regionah-samostoyatelno-detaliziruut-doplaty-vracham-nastavnikam-i-usloviya-ih-raboty.html</w:t>
        </w:r>
      </w:hyperlink>
    </w:p>
    <w:p w:rsidR="00B93A76" w:rsidRPr="00B93A76" w:rsidRDefault="00B93A76" w:rsidP="00B93A76">
      <w:pPr>
        <w:rPr>
          <w:rFonts w:ascii="Calibri" w:hAnsi="Calibri" w:cs="Calibri"/>
          <w:sz w:val="24"/>
          <w:szCs w:val="24"/>
        </w:rPr>
      </w:pPr>
    </w:p>
    <w:p w:rsidR="00B93A76" w:rsidRPr="00B93A76" w:rsidRDefault="00B93A76" w:rsidP="00B93A76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sectPr w:rsidR="00B93A76" w:rsidRPr="00B93A76" w:rsidSect="004B21D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17" w:rsidRDefault="00197917" w:rsidP="00EC7E1A">
      <w:pPr>
        <w:spacing w:after="0" w:line="240" w:lineRule="auto"/>
      </w:pPr>
      <w:r>
        <w:separator/>
      </w:r>
    </w:p>
  </w:endnote>
  <w:endnote w:type="continuationSeparator" w:id="0">
    <w:p w:rsidR="00197917" w:rsidRDefault="00197917" w:rsidP="00EC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1A" w:rsidRDefault="00EC7E1A">
    <w:pPr>
      <w:pStyle w:val="ac"/>
    </w:pPr>
  </w:p>
  <w:p w:rsidR="00EC7E1A" w:rsidRDefault="00EC7E1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17" w:rsidRDefault="00197917" w:rsidP="00EC7E1A">
      <w:pPr>
        <w:spacing w:after="0" w:line="240" w:lineRule="auto"/>
      </w:pPr>
      <w:r>
        <w:separator/>
      </w:r>
    </w:p>
  </w:footnote>
  <w:footnote w:type="continuationSeparator" w:id="0">
    <w:p w:rsidR="00197917" w:rsidRDefault="00197917" w:rsidP="00EC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C88"/>
    <w:multiLevelType w:val="multilevel"/>
    <w:tmpl w:val="53FE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0528A"/>
    <w:multiLevelType w:val="multilevel"/>
    <w:tmpl w:val="8476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779B7"/>
    <w:multiLevelType w:val="multilevel"/>
    <w:tmpl w:val="563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53"/>
    <w:rsid w:val="0005603A"/>
    <w:rsid w:val="00197917"/>
    <w:rsid w:val="00304456"/>
    <w:rsid w:val="00470A78"/>
    <w:rsid w:val="004B21DB"/>
    <w:rsid w:val="004C0163"/>
    <w:rsid w:val="00625AE6"/>
    <w:rsid w:val="0067598F"/>
    <w:rsid w:val="00874D98"/>
    <w:rsid w:val="00AE7A55"/>
    <w:rsid w:val="00B07A6F"/>
    <w:rsid w:val="00B71053"/>
    <w:rsid w:val="00B872B7"/>
    <w:rsid w:val="00B87595"/>
    <w:rsid w:val="00B93A76"/>
    <w:rsid w:val="00C82F17"/>
    <w:rsid w:val="00EC7E1A"/>
    <w:rsid w:val="00E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BEBE"/>
  <w15:docId w15:val="{077E9A83-7CDB-DA4F-BF3E-E08D417F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1DB"/>
  </w:style>
  <w:style w:type="paragraph" w:styleId="1">
    <w:name w:val="heading 1"/>
    <w:basedOn w:val="a"/>
    <w:next w:val="a"/>
    <w:link w:val="10"/>
    <w:uiPriority w:val="9"/>
    <w:qFormat/>
    <w:rsid w:val="00B71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B71053"/>
  </w:style>
  <w:style w:type="character" w:styleId="a3">
    <w:name w:val="Hyperlink"/>
    <w:basedOn w:val="a0"/>
    <w:uiPriority w:val="99"/>
    <w:unhideWhenUsed/>
    <w:rsid w:val="00B71053"/>
    <w:rPr>
      <w:color w:val="0000FF"/>
      <w:u w:val="single"/>
    </w:rPr>
  </w:style>
  <w:style w:type="character" w:customStyle="1" w:styleId="name">
    <w:name w:val="name"/>
    <w:basedOn w:val="a0"/>
    <w:rsid w:val="00B71053"/>
  </w:style>
  <w:style w:type="character" w:customStyle="1" w:styleId="surname">
    <w:name w:val="surname"/>
    <w:basedOn w:val="a0"/>
    <w:rsid w:val="00B71053"/>
  </w:style>
  <w:style w:type="paragraph" w:styleId="a4">
    <w:name w:val="Balloon Text"/>
    <w:basedOn w:val="a"/>
    <w:link w:val="a5"/>
    <w:uiPriority w:val="99"/>
    <w:semiHidden/>
    <w:unhideWhenUsed/>
    <w:rsid w:val="00B7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7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1053"/>
    <w:rPr>
      <w:b/>
      <w:bCs/>
    </w:rPr>
  </w:style>
  <w:style w:type="paragraph" w:customStyle="1" w:styleId="articlesubtitle">
    <w:name w:val="article__subtitle"/>
    <w:basedOn w:val="a"/>
    <w:rsid w:val="00B7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ssubtitle3i1pb">
    <w:name w:val="styles_subtitle__3i1pb"/>
    <w:basedOn w:val="a"/>
    <w:rsid w:val="00B0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25AE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25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text">
    <w:name w:val="doc__text"/>
    <w:basedOn w:val="a"/>
    <w:rsid w:val="0062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AE7A55"/>
    <w:rPr>
      <w:color w:val="800080" w:themeColor="followedHyperlink"/>
      <w:u w:val="single"/>
    </w:rPr>
  </w:style>
  <w:style w:type="character" w:customStyle="1" w:styleId="article-info-line">
    <w:name w:val="article-info-line"/>
    <w:basedOn w:val="a0"/>
    <w:rsid w:val="00EE3C17"/>
  </w:style>
  <w:style w:type="character" w:customStyle="1" w:styleId="regnumtitle">
    <w:name w:val="regnum_title"/>
    <w:basedOn w:val="a0"/>
    <w:rsid w:val="00EE3C17"/>
  </w:style>
  <w:style w:type="paragraph" w:styleId="aa">
    <w:name w:val="header"/>
    <w:basedOn w:val="a"/>
    <w:link w:val="ab"/>
    <w:uiPriority w:val="99"/>
    <w:semiHidden/>
    <w:unhideWhenUsed/>
    <w:rsid w:val="00EC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7E1A"/>
  </w:style>
  <w:style w:type="paragraph" w:styleId="ac">
    <w:name w:val="footer"/>
    <w:basedOn w:val="a"/>
    <w:link w:val="ad"/>
    <w:uiPriority w:val="99"/>
    <w:semiHidden/>
    <w:unhideWhenUsed/>
    <w:rsid w:val="00EC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0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2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584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83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45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94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4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774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26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87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153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70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5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2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5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8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09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100">
                                  <w:marLeft w:val="0"/>
                                  <w:marRight w:val="0"/>
                                  <w:marTop w:val="188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485095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9250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058255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187805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564679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825929">
                                          <w:marLeft w:val="0"/>
                                          <w:marRight w:val="0"/>
                                          <w:marTop w:val="0"/>
                                          <w:marBottom w:val="3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47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0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56210">
                                              <w:marLeft w:val="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0867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620132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344786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6593">
                                          <w:marLeft w:val="0"/>
                                          <w:marRight w:val="0"/>
                                          <w:marTop w:val="250"/>
                                          <w:marBottom w:val="3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277380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7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2829">
                          <w:marLeft w:val="376"/>
                          <w:marRight w:val="376"/>
                          <w:marTop w:val="0"/>
                          <w:marBottom w:val="5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6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72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6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9617">
                          <w:marLeft w:val="376"/>
                          <w:marRight w:val="376"/>
                          <w:marTop w:val="0"/>
                          <w:marBottom w:val="5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8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5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4482">
                          <w:marLeft w:val="376"/>
                          <w:marRight w:val="376"/>
                          <w:marTop w:val="0"/>
                          <w:marBottom w:val="5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0987">
                                  <w:marLeft w:val="0"/>
                                  <w:marRight w:val="0"/>
                                  <w:marTop w:val="0"/>
                                  <w:marBottom w:val="3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1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3481">
                                      <w:marLeft w:val="0"/>
                                      <w:marRight w:val="0"/>
                                      <w:marTop w:val="301"/>
                                      <w:marBottom w:val="4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81431">
                                                  <w:marLeft w:val="0"/>
                                                  <w:marRight w:val="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1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087455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516">
              <w:marLeft w:val="401"/>
              <w:marRight w:val="4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7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617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2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244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9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9701">
                          <w:marLeft w:val="0"/>
                          <w:marRight w:val="4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37102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0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666666"/>
                                <w:left w:val="single" w:sz="4" w:space="0" w:color="666666"/>
                                <w:bottom w:val="single" w:sz="4" w:space="0" w:color="666666"/>
                                <w:right w:val="single" w:sz="4" w:space="0" w:color="666666"/>
                              </w:divBdr>
                            </w:div>
                          </w:divsChild>
                        </w:div>
                      </w:divsChild>
                    </w:div>
                    <w:div w:id="102598674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vestnik.ru/content/news/v-rossii-obnovyat-nomenklaturu-doljnostei-i-specialnostei-medicinskih-i-farmspecialistov.html" TargetMode="External"/><Relationship Id="rId13" Type="http://schemas.openxmlformats.org/officeDocument/2006/relationships/hyperlink" Target="https://regulation.gov.ru/projects/168477/" TargetMode="External"/><Relationship Id="rId18" Type="http://schemas.openxmlformats.org/officeDocument/2006/relationships/hyperlink" Target="https://medvestnik.ru/content/news/v-regionah-samostoyatelno-detaliziruut-doplaty-vracham-nastavnikam-i-usloviya-ih-raboty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edvestnik.ru/content/news/minzdrav-rf-uvelichil-chislo-medicinskih-specialnostei-do-155.html" TargetMode="External"/><Relationship Id="rId17" Type="http://schemas.openxmlformats.org/officeDocument/2006/relationships/hyperlink" Target="https://health.bashkortostan.ru/documents/projects/6926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vestnik.ru/content/news/foms-predlojil-edinye-pravila-rascheta-rashodov-territorialnyh-fondov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vestnik.ru/directory/persons/Vlasov-Yan-Vladimirovich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vestnik.ru/content/news/mihail-mishustin-poprosil-glavu-foms-vnimatelno-sledit-za-urovnem-zarplat-medrabotnikov.html" TargetMode="External"/><Relationship Id="rId10" Type="http://schemas.openxmlformats.org/officeDocument/2006/relationships/hyperlink" Target="https://medvestnik.ru/content/news/eksperty-nachali-kommentirovat-obnovlenie-spiska-medicinskih-specialnostei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dvestnik.ru/content/documents/435n-ot-14-05-2026.html" TargetMode="External"/><Relationship Id="rId14" Type="http://schemas.openxmlformats.org/officeDocument/2006/relationships/hyperlink" Target="https://medvestnik.ru/directory/persons/Balanin-Ilya-Valerev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7553</Characters>
  <Application>Microsoft Office Word</Application>
  <DocSecurity>0</DocSecurity>
  <Lines>118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2</cp:revision>
  <dcterms:created xsi:type="dcterms:W3CDTF">2026-06-16T09:56:00Z</dcterms:created>
  <dcterms:modified xsi:type="dcterms:W3CDTF">2026-06-16T09:56:00Z</dcterms:modified>
</cp:coreProperties>
</file>