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45B" w:rsidRPr="00F83791" w:rsidRDefault="003B745B" w:rsidP="003B745B">
      <w:pPr>
        <w:jc w:val="center"/>
        <w:rPr>
          <w:rFonts w:ascii="Calibri" w:hAnsi="Calibri" w:cs="Calibri"/>
          <w:b/>
        </w:rPr>
      </w:pPr>
      <w:r w:rsidRPr="00F83791">
        <w:rPr>
          <w:rFonts w:ascii="Calibri" w:hAnsi="Calibri" w:cs="Calibri"/>
          <w:b/>
          <w:noProof/>
        </w:rPr>
        <w:drawing>
          <wp:inline distT="0" distB="0" distL="0" distR="0" wp14:anchorId="2FD5A17A" wp14:editId="31A092B9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791">
        <w:rPr>
          <w:rFonts w:ascii="Calibri" w:hAnsi="Calibri" w:cs="Calibri"/>
          <w:b/>
        </w:rPr>
        <w:t xml:space="preserve"> </w:t>
      </w:r>
    </w:p>
    <w:p w:rsidR="003B745B" w:rsidRPr="00F83791" w:rsidRDefault="003B745B" w:rsidP="003B745B">
      <w:pPr>
        <w:jc w:val="center"/>
        <w:rPr>
          <w:rFonts w:ascii="Calibri" w:hAnsi="Calibri" w:cs="Calibri"/>
          <w:b/>
        </w:rPr>
      </w:pPr>
    </w:p>
    <w:p w:rsidR="003B745B" w:rsidRPr="00F83791" w:rsidRDefault="003B745B" w:rsidP="003B745B">
      <w:pPr>
        <w:jc w:val="center"/>
        <w:rPr>
          <w:rFonts w:ascii="Calibri" w:hAnsi="Calibri" w:cs="Calibri"/>
          <w:b/>
          <w:color w:val="FF0000"/>
        </w:rPr>
      </w:pPr>
      <w:r w:rsidRPr="00F83791">
        <w:rPr>
          <w:rFonts w:ascii="Calibri" w:hAnsi="Calibri" w:cs="Calibri"/>
          <w:b/>
          <w:color w:val="FF0000"/>
        </w:rPr>
        <w:t>ИНФОРМАЦИОННЫЙ ДАЙДЖЕСТ</w:t>
      </w:r>
    </w:p>
    <w:p w:rsidR="003B745B" w:rsidRPr="00F83791" w:rsidRDefault="003B745B" w:rsidP="003B745B">
      <w:pPr>
        <w:jc w:val="center"/>
        <w:rPr>
          <w:rFonts w:ascii="Calibri" w:hAnsi="Calibri" w:cs="Calibri"/>
          <w:b/>
          <w:color w:val="FF0000"/>
        </w:rPr>
      </w:pPr>
      <w:r w:rsidRPr="00F83791">
        <w:rPr>
          <w:rFonts w:ascii="Calibri" w:hAnsi="Calibri" w:cs="Calibri"/>
          <w:b/>
          <w:color w:val="FF0000"/>
        </w:rPr>
        <w:t>(период с 3</w:t>
      </w:r>
      <w:r>
        <w:rPr>
          <w:rFonts w:ascii="Calibri" w:hAnsi="Calibri" w:cs="Calibri"/>
          <w:b/>
          <w:color w:val="FF0000"/>
        </w:rPr>
        <w:t>1</w:t>
      </w:r>
      <w:r w:rsidRPr="00F83791">
        <w:rPr>
          <w:rFonts w:ascii="Calibri" w:hAnsi="Calibri" w:cs="Calibri"/>
          <w:b/>
          <w:color w:val="FF0000"/>
        </w:rPr>
        <w:t xml:space="preserve"> августа</w:t>
      </w:r>
      <w:r>
        <w:rPr>
          <w:rFonts w:ascii="Calibri" w:hAnsi="Calibri" w:cs="Calibri"/>
          <w:b/>
          <w:color w:val="FF0000"/>
        </w:rPr>
        <w:t xml:space="preserve"> по </w:t>
      </w:r>
      <w:r w:rsidR="00286D60">
        <w:rPr>
          <w:rFonts w:ascii="Calibri" w:hAnsi="Calibri" w:cs="Calibri"/>
          <w:b/>
          <w:color w:val="FF0000"/>
        </w:rPr>
        <w:t>6 сентября</w:t>
      </w:r>
      <w:bookmarkStart w:id="0" w:name="_GoBack"/>
      <w:bookmarkEnd w:id="0"/>
      <w:r w:rsidRPr="00F83791">
        <w:rPr>
          <w:rFonts w:ascii="Calibri" w:hAnsi="Calibri" w:cs="Calibri"/>
          <w:b/>
          <w:color w:val="FF0000"/>
        </w:rPr>
        <w:t xml:space="preserve"> 2026 года)</w:t>
      </w:r>
    </w:p>
    <w:p w:rsidR="00986A2F" w:rsidRPr="003B745B" w:rsidRDefault="00986A2F" w:rsidP="003B745B">
      <w:pPr>
        <w:jc w:val="both"/>
        <w:rPr>
          <w:rFonts w:ascii="Calibri" w:hAnsi="Calibri" w:cs="Calibri"/>
          <w:sz w:val="24"/>
          <w:szCs w:val="24"/>
        </w:rPr>
      </w:pPr>
    </w:p>
    <w:p w:rsidR="006A3BF6" w:rsidRPr="003B745B" w:rsidRDefault="003E489C" w:rsidP="003B745B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3B745B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6A3BF6" w:rsidRPr="003B745B" w:rsidRDefault="006A3BF6" w:rsidP="003B745B">
      <w:pPr>
        <w:jc w:val="both"/>
        <w:rPr>
          <w:rFonts w:ascii="Calibri" w:hAnsi="Calibri" w:cs="Calibri"/>
          <w:b/>
          <w:sz w:val="24"/>
          <w:szCs w:val="24"/>
        </w:rPr>
      </w:pPr>
      <w:r w:rsidRPr="003B745B">
        <w:rPr>
          <w:rFonts w:ascii="Calibri" w:hAnsi="Calibri" w:cs="Calibri"/>
          <w:b/>
          <w:sz w:val="24"/>
          <w:szCs w:val="24"/>
        </w:rPr>
        <w:t>Минздрав РФ распространил методичку с вопросами и ответами о наставничестве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На сайтах региональных министерств появилась адресованная медицинским организациям методичка Минздрава РФ с ответами на часто задаваемые вопросы о наставничестве. В том числе объясняется, с какой даты отсчитывать срок наставничества, из каких средств производить выплаты и каким образом вносить сведения в цифровые системы в сфере здравоохранения.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Минздрав РФ совместно с подведомственным Федеральным центром поддержки добровольчества и наставничества в сфере охраны здоровья выпустили методичку с ответами на часто задаваемые вопросы о наставничестве. Документ появился на сайтах некоторых региональных министерств, обратил внимание «МВ».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Кто должен проходить наставничество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Прежде всего авторы поясняют, что наставничество не распространяется автоматически на любого вновь принятого в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медорганизацию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медицинского работника, в том числе после прохождения дополнительного профессионального образования (ДПО), или любого работника со стажем меньше пяти лет, после длительного перерыва, перевода или назначения на другую должность.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Действие Федерального закона </w:t>
      </w:r>
      <w:hyperlink r:id="rId6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№ 424-ФЗ от 17.11.2025</w:t>
        </w:r>
      </w:hyperlink>
      <w:r w:rsidRPr="003B745B">
        <w:rPr>
          <w:rFonts w:ascii="Calibri" w:hAnsi="Calibri" w:cs="Calibri"/>
          <w:sz w:val="24"/>
          <w:szCs w:val="24"/>
        </w:rPr>
        <w:t xml:space="preserve"> об обязательных отработках выпускников медицинских вузов и колледжей распространяется на специалистов, получивших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медобразование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по основной профессиональной образовательной программе по медицинской специальности, включенной в приказ Минздрава РФ </w:t>
      </w:r>
      <w:hyperlink r:id="rId7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№ 166н от 05.03.2026</w:t>
        </w:r>
      </w:hyperlink>
      <w:r w:rsidRPr="003B745B">
        <w:rPr>
          <w:rFonts w:ascii="Calibri" w:hAnsi="Calibri" w:cs="Calibri"/>
          <w:sz w:val="24"/>
          <w:szCs w:val="24"/>
        </w:rPr>
        <w:t>, и впервые прошедших первичную или первичную специализированную аккредитацию после 1 марта 2026 года при соблюдении всех трех условий одновременно. В то же время работодатель вправе при необходимости установить наставничество в отношении специалиста с большим перерывом в стаже локальным нормативным актом. Но такое наставничество не обязательно для последующего допуска к периодической аккредитации.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Для наставника требуется письменное согласие в соответствии со ст. 351.8 Трудового кодекса РФ, так как принуждение работника к выполнению функции наставника </w:t>
      </w:r>
      <w:r w:rsidRPr="003B745B">
        <w:rPr>
          <w:rFonts w:ascii="Calibri" w:hAnsi="Calibri" w:cs="Calibri"/>
          <w:sz w:val="24"/>
          <w:szCs w:val="24"/>
        </w:rPr>
        <w:lastRenderedPageBreak/>
        <w:t>недопустимо. Но для наставляемого закон № 424-ФЗ и приказ </w:t>
      </w:r>
      <w:hyperlink r:id="rId8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№ 167н от 05.03.2026</w:t>
        </w:r>
      </w:hyperlink>
      <w:r w:rsidRPr="003B745B">
        <w:rPr>
          <w:rFonts w:ascii="Calibri" w:hAnsi="Calibri" w:cs="Calibri"/>
          <w:sz w:val="24"/>
          <w:szCs w:val="24"/>
        </w:rPr>
        <w:t> «Об утверждении Положения о наставничестве в сфере здравоохранения»</w:t>
      </w:r>
      <w:r w:rsidRPr="003B745B">
        <w:rPr>
          <w:rFonts w:ascii="Calibri" w:hAnsi="Calibri" w:cs="Calibri"/>
          <w:b/>
          <w:bCs/>
          <w:sz w:val="24"/>
          <w:szCs w:val="24"/>
        </w:rPr>
        <w:t> </w:t>
      </w:r>
      <w:r w:rsidRPr="003B745B">
        <w:rPr>
          <w:rFonts w:ascii="Calibri" w:hAnsi="Calibri" w:cs="Calibri"/>
          <w:sz w:val="24"/>
          <w:szCs w:val="24"/>
        </w:rPr>
        <w:t xml:space="preserve">не устанавливают отдельной процедуры письменного согласия или нормативного права отказаться от уже применяемого режима. В случае отказа, если период наставничества не пройден или пройден </w:t>
      </w:r>
      <w:proofErr w:type="spellStart"/>
      <w:r w:rsidRPr="003B745B">
        <w:rPr>
          <w:rFonts w:ascii="Calibri" w:hAnsi="Calibri" w:cs="Calibri"/>
          <w:sz w:val="24"/>
          <w:szCs w:val="24"/>
        </w:rPr>
        <w:t>неполностью</w:t>
      </w:r>
      <w:proofErr w:type="spellEnd"/>
      <w:r w:rsidRPr="003B745B">
        <w:rPr>
          <w:rFonts w:ascii="Calibri" w:hAnsi="Calibri" w:cs="Calibri"/>
          <w:sz w:val="24"/>
          <w:szCs w:val="24"/>
        </w:rPr>
        <w:t>, им придется повторно проходить первичную или первичную специализированную аккредитацию вместо периодической с последующим продолжением наставничества.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Выпускники, кроме окончивших обучение по договору о целевом обучении с конкретным заказчиком, могут проходить наставничество в частной медицинской организации, если она участвует в территориальной программе госгарантий (ТПГГ). Такое же условие установлено для учреждений социального обслуживания с медицинской лицензией, федеральных и ведомственных медицинских центров, госпиталей Минобороны РФ. То есть ключевое участие для начала отсчета срока обязательного наставничества — участие организации в ТПГГ или отработка в этой организации по целевому договору.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Дистанционный и очный форматы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 разъяснениях Минздрава РФ конкретизируется, что следует понимать под дистанционным наставничеством: такой формат не отменяет требования к наставнику, основному месту работы, приказу руководителя и формированию сведений о периоде прохождения наставничества. Возможные способы реализации наставничества в удаленном формате: видеосвязь, дистанционный разбор клинических ситуаций и документов, электронные образовательные ресурсы, контрольные точки и журнал дистанционного взаимодействия. В то же время работать в разных юридических лицах наставнику и наставляемому нельзя, закон этого не допускает. Но выполнять дистанционное наставничество между филиалами одной медицинской организации можно.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Отчет срока обязательного наставничества начинается с момента издания приказа об определении наставника руководителем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3B745B">
        <w:rPr>
          <w:rFonts w:ascii="Calibri" w:hAnsi="Calibri" w:cs="Calibri"/>
          <w:sz w:val="24"/>
          <w:szCs w:val="24"/>
        </w:rPr>
        <w:t>. То есть дата трудоустройства без приказа о назначении наставника сама по себе не должна включаться в сведения о периоде наставничества. В сведениях о периоде прохождения наставничества необходимо отражать фактические даты начала и окончания наставничества, оформленные соответствующими документами. Ответственный за организацию наставничества в медицинской организации также дублирует эти сведения на портале непрерывного медицинского и фармацевтического образования.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При прохождении наставничества не обязательно работать на полную ставку. Федеральные нормы не устанавливают минимальную долю ставки, но обязательное условие ‒ основное место работы, то есть совместительство в расчете срока не учитывается. Рекомендации по организации наставничества в сфере здравоохранении к закону № 424-ФЗ советуют трудоустройство на условиях полного рабочего времени, но это рекомендация, а не обязательное требование. Таким образом работа на 0,5 или 0,25 ставки по основному месту формально не исключает наставничество.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Срок наставничества не увеличивается пропорционально неполному рабочему времени, так как действующие акты не содержат правила перерасчета календарного срока </w:t>
      </w:r>
      <w:r w:rsidRPr="003B745B">
        <w:rPr>
          <w:rFonts w:ascii="Calibri" w:hAnsi="Calibri" w:cs="Calibri"/>
          <w:sz w:val="24"/>
          <w:szCs w:val="24"/>
        </w:rPr>
        <w:lastRenderedPageBreak/>
        <w:t>пропорционально ставке. То есть работодатель не вправе самовольно удлинять срок. Суммировать периоды наставничества в разных организациях можно.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Работник должен сохранить сведения из всех организаций, где осуществлялось наставничество; новый работодатель учитывает документально предыдущие сведения о периоде прохождения наставничества и организует наставничество на оставшийся в соответствии с законодательством срок. Специалисту также советуют сохранять документы: приказы руководителя, письменное согласие наставника, трудовой договор/дополнительное соглашение с условиями организации наставничества и выплат, а также дополнительные доказательства о прохождении наставничества, такие как индивидуальный план, журнал взаимодействия, промежуточные оценки и итоговая характеристика.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Требования к наставникам и оплата их работы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Повышение квалификации по теме наставничества для наставников не обязательно — специализированное обучение лишь рекомендация, но не обязательное условие допуска к наставничеству. Самое главное — соответствие требованиям к пятилетнему стажу и наличие письменного согласия. Обучение может включаться в план развития персонала, финансироваться работодателем или учредителем по их актам.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Отдельно авторы методички оговаривают нюансы оплаты труда врачей-наставников и из каких средств администрация вправе эти выплаты производить. В </w:t>
      </w:r>
      <w:proofErr w:type="gramStart"/>
      <w:r w:rsidRPr="003B745B">
        <w:rPr>
          <w:rFonts w:ascii="Calibri" w:hAnsi="Calibri" w:cs="Calibri"/>
          <w:sz w:val="24"/>
          <w:szCs w:val="24"/>
        </w:rPr>
        <w:t>ситуации</w:t>
      </w:r>
      <w:proofErr w:type="gramEnd"/>
      <w:r w:rsidRPr="003B745B">
        <w:rPr>
          <w:rFonts w:ascii="Calibri" w:hAnsi="Calibri" w:cs="Calibri"/>
          <w:sz w:val="24"/>
          <w:szCs w:val="24"/>
        </w:rPr>
        <w:t xml:space="preserve"> когда работнику поручается дополнительная работа по наставничеству, условия и размеры выплат должны быть установлены трудовым договором или дополнительным соглашением в соответствии с системой оплаты труда. Но если наставничество включено в основную трудовую функцию руководителя или иного работника и учтено в окладе, отдельная компенсационная выплата федеральными нормами автоматически не гарантируется. Тариф ОМС включает расходы на заработную плату и иные выплаты, но конкретное использование должно соответствовать территориальной программе ОМС, тарифному соглашению, системе оплаты труда и целевому назначению средств.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«Работникам могут устанавливаться стимулирующие выплаты. В любом случае письменное оформление содержания, срока и формы работы обязательно. Общие размеры и условия могут закрепляться федеральными, региональными или муниципальными нормативными правовыми актами для соответствующих учреждений; для иных организаций ‒ коллективным договором, соглашением или локальным актом. Индивидуальный размер и условия конкретному работнику за выполнение дополнительной работы по наставничеству фиксируются в трудовом договоре или дополнительном соглашении к трудовому договору», — полагают разработчики рекомендаций.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В начале июня региональные </w:t>
      </w:r>
      <w:proofErr w:type="spellStart"/>
      <w:r w:rsidRPr="003B745B">
        <w:rPr>
          <w:rFonts w:ascii="Calibri" w:hAnsi="Calibri" w:cs="Calibri"/>
          <w:sz w:val="24"/>
          <w:szCs w:val="24"/>
        </w:rPr>
        <w:t>минздравы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начали публиковать на сайтах списки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3B745B">
        <w:rPr>
          <w:rFonts w:ascii="Calibri" w:hAnsi="Calibri" w:cs="Calibri"/>
          <w:sz w:val="24"/>
          <w:szCs w:val="24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9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3B745B">
        <w:rPr>
          <w:rFonts w:ascii="Calibri" w:hAnsi="Calibri" w:cs="Calibri"/>
          <w:sz w:val="24"/>
          <w:szCs w:val="24"/>
        </w:rPr>
        <w:t> «МВ». Президент РФ </w:t>
      </w:r>
      <w:r w:rsidRPr="003B745B">
        <w:rPr>
          <w:rStyle w:val="a5"/>
          <w:rFonts w:ascii="Calibri" w:hAnsi="Calibri" w:cs="Calibri"/>
          <w:color w:val="1A1B1D"/>
          <w:sz w:val="24"/>
          <w:szCs w:val="24"/>
        </w:rPr>
        <w:t>Владимир Путин</w:t>
      </w:r>
      <w:r w:rsidRPr="003B745B">
        <w:rPr>
          <w:rFonts w:ascii="Calibri" w:hAnsi="Calibri" w:cs="Calibri"/>
          <w:sz w:val="24"/>
          <w:szCs w:val="24"/>
        </w:rPr>
        <w:t> </w:t>
      </w:r>
      <w:hyperlink r:id="rId10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заявил</w:t>
        </w:r>
      </w:hyperlink>
      <w:r w:rsidRPr="003B745B">
        <w:rPr>
          <w:rFonts w:ascii="Calibri" w:hAnsi="Calibri" w:cs="Calibri"/>
          <w:sz w:val="24"/>
          <w:szCs w:val="24"/>
        </w:rPr>
        <w:t xml:space="preserve">, что практика наставничества для выпускников медицинских колледжей и вузов не должна становиться формальностью и приводить к перегрузкам </w:t>
      </w:r>
      <w:r w:rsidRPr="003B745B">
        <w:rPr>
          <w:rFonts w:ascii="Calibri" w:hAnsi="Calibri" w:cs="Calibri"/>
          <w:sz w:val="24"/>
          <w:szCs w:val="24"/>
        </w:rPr>
        <w:lastRenderedPageBreak/>
        <w:t>врачей, которые берут на себя дополнительные обязанности курировать молодых специалистов.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hyperlink r:id="rId11" w:history="1">
        <w:r w:rsidRPr="003B745B">
          <w:rPr>
            <w:rStyle w:val="a3"/>
            <w:rFonts w:ascii="Calibri" w:hAnsi="Calibri" w:cs="Calibri"/>
            <w:sz w:val="24"/>
            <w:szCs w:val="24"/>
          </w:rPr>
          <w:t>https://medvestnik.ru/content/news/minzdrav-rf-rasprostranil-metodichku-s-voprosami-i-otvetami-o-nastavnichestve.html</w:t>
        </w:r>
      </w:hyperlink>
    </w:p>
    <w:p w:rsidR="006A3BF6" w:rsidRPr="003B745B" w:rsidRDefault="006A3BF6" w:rsidP="003B745B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3E489C" w:rsidRPr="003B745B" w:rsidRDefault="003E489C" w:rsidP="003B745B">
      <w:pPr>
        <w:jc w:val="both"/>
        <w:rPr>
          <w:rFonts w:ascii="Calibri" w:hAnsi="Calibri" w:cs="Calibri"/>
          <w:b/>
          <w:sz w:val="24"/>
          <w:szCs w:val="24"/>
        </w:rPr>
      </w:pPr>
      <w:r w:rsidRPr="003B745B">
        <w:rPr>
          <w:rFonts w:ascii="Calibri" w:hAnsi="Calibri" w:cs="Calibri"/>
          <w:b/>
          <w:sz w:val="24"/>
          <w:szCs w:val="24"/>
        </w:rPr>
        <w:t>Выплаты за наставничество за счет ОМС: Минздрав и ФФОМС сообщили, когда расходы признают нецелевыми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Министерство направило для использования в работе совместное с фондом письмо. В нем указали, что выплаты за </w:t>
      </w:r>
      <w:proofErr w:type="spellStart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>допработу</w:t>
      </w:r>
      <w:proofErr w:type="spellEnd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, связанную с наставничеством принятых в штат молодых специалистов, </w:t>
      </w:r>
      <w:hyperlink r:id="rId12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относятся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к прямым затратам на медпомощь. Их распределяют пропорционально источникам финансирования. Оплату можно проводить за счет ОМС при соблюдении условий:</w:t>
      </w:r>
    </w:p>
    <w:p w:rsidR="003E489C" w:rsidRPr="003B745B" w:rsidRDefault="003E489C" w:rsidP="003B745B">
      <w:pPr>
        <w:pStyle w:val="a6"/>
        <w:numPr>
          <w:ilvl w:val="0"/>
          <w:numId w:val="5"/>
        </w:numPr>
        <w:spacing w:after="20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у медучреждения </w:t>
      </w:r>
      <w:hyperlink r:id="rId13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есть лицензия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на деятельность, по которой ведется наставничество;</w:t>
      </w:r>
    </w:p>
    <w:p w:rsidR="003E489C" w:rsidRPr="003B745B" w:rsidRDefault="003E489C" w:rsidP="003B745B">
      <w:pPr>
        <w:pStyle w:val="a6"/>
        <w:numPr>
          <w:ilvl w:val="0"/>
          <w:numId w:val="5"/>
        </w:numPr>
        <w:spacing w:after="20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по данному профилю в рамках территориальной программы ОМС </w:t>
      </w:r>
      <w:hyperlink r:id="rId14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выделили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объемы медпомощи.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В ином случае расходы </w:t>
      </w:r>
      <w:hyperlink r:id="rId15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признают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нецелевыми.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Также Минздрав и ФФОМС напомнили, что наставничество </w:t>
      </w:r>
      <w:hyperlink r:id="rId16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может быть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>:</w:t>
      </w:r>
    </w:p>
    <w:p w:rsidR="003E489C" w:rsidRPr="003B745B" w:rsidRDefault="003E489C" w:rsidP="003B745B">
      <w:pPr>
        <w:pStyle w:val="a6"/>
        <w:numPr>
          <w:ilvl w:val="0"/>
          <w:numId w:val="4"/>
        </w:numPr>
        <w:spacing w:after="20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частью основной работы. В этом случае наставниками чаще становятся руководители, и вознаграждение </w:t>
      </w:r>
      <w:hyperlink r:id="rId17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входит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в их оклад;</w:t>
      </w:r>
    </w:p>
    <w:p w:rsidR="003E489C" w:rsidRPr="003B745B" w:rsidRDefault="003E489C" w:rsidP="003B745B">
      <w:pPr>
        <w:pStyle w:val="a6"/>
        <w:numPr>
          <w:ilvl w:val="0"/>
          <w:numId w:val="4"/>
        </w:numPr>
        <w:spacing w:after="20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>допнагрузкой</w:t>
      </w:r>
      <w:proofErr w:type="spellEnd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по поручению руководителя. В такой ситуации трудовым договором или </w:t>
      </w:r>
      <w:proofErr w:type="spellStart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>допсоглашением</w:t>
      </w:r>
      <w:proofErr w:type="spellEnd"/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hyperlink r:id="rId18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устанавливают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компенсации за увеличение объема работы. Основную нагрузку могут снизить на период наставничества.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В обоих случаях медучреждение может также </w:t>
      </w:r>
      <w:hyperlink r:id="rId19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назначать</w:t>
        </w:r>
      </w:hyperlink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 xml:space="preserve"> стимулирующие выплаты за эффективное наставничество.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3B745B">
        <w:rPr>
          <w:rFonts w:ascii="Calibri" w:eastAsia="Times New Roman" w:hAnsi="Calibri" w:cs="Calibri"/>
          <w:sz w:val="24"/>
          <w:szCs w:val="24"/>
          <w:lang w:eastAsia="ru-RU"/>
        </w:rPr>
        <w:t>Документ:</w:t>
      </w:r>
    </w:p>
    <w:p w:rsidR="003E489C" w:rsidRPr="003B745B" w:rsidRDefault="003E489C" w:rsidP="003B745B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hyperlink r:id="rId20" w:history="1">
        <w:r w:rsidRPr="003B745B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Письмо Минздрава России от 19.08.2026 N 31-1/И/2-15226</w:t>
        </w:r>
      </w:hyperlink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hyperlink r:id="rId21" w:history="1">
        <w:r w:rsidRPr="003B745B">
          <w:rPr>
            <w:rStyle w:val="a3"/>
            <w:rFonts w:ascii="Calibri" w:hAnsi="Calibri" w:cs="Calibri"/>
            <w:sz w:val="24"/>
            <w:szCs w:val="24"/>
          </w:rPr>
          <w:t>https://www.consultant.ru/legalnews/32454/?utm_source=yxnews&amp;utm_medium=desktop&amp;utm_referrer=https%3A%2F%2Fdzen.ru%2Fnews%2Fsearch</w:t>
        </w:r>
      </w:hyperlink>
    </w:p>
    <w:p w:rsidR="006A3BF6" w:rsidRPr="003B745B" w:rsidRDefault="006A3BF6" w:rsidP="003B745B">
      <w:pPr>
        <w:jc w:val="both"/>
        <w:rPr>
          <w:rFonts w:ascii="Calibri" w:hAnsi="Calibri" w:cs="Calibri"/>
          <w:b/>
          <w:sz w:val="24"/>
          <w:szCs w:val="24"/>
        </w:rPr>
      </w:pPr>
      <w:r w:rsidRPr="003B745B">
        <w:rPr>
          <w:rFonts w:ascii="Calibri" w:hAnsi="Calibri" w:cs="Calibri"/>
          <w:b/>
          <w:sz w:val="24"/>
          <w:szCs w:val="24"/>
        </w:rPr>
        <w:t xml:space="preserve">Минздрав РФ обновил реестр </w:t>
      </w:r>
      <w:proofErr w:type="spellStart"/>
      <w:r w:rsidRPr="003B745B">
        <w:rPr>
          <w:rFonts w:ascii="Calibri" w:hAnsi="Calibri" w:cs="Calibri"/>
          <w:b/>
          <w:sz w:val="24"/>
          <w:szCs w:val="24"/>
        </w:rPr>
        <w:t>орфанных</w:t>
      </w:r>
      <w:proofErr w:type="spellEnd"/>
      <w:r w:rsidRPr="003B745B">
        <w:rPr>
          <w:rFonts w:ascii="Calibri" w:hAnsi="Calibri" w:cs="Calibri"/>
          <w:b/>
          <w:sz w:val="24"/>
          <w:szCs w:val="24"/>
        </w:rPr>
        <w:t xml:space="preserve"> нозологий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Минздрав РФ обновил перечень редких заболеваний, увеличив общее число нозологий до 305. В список вошел синдром дупликации хромосомы 15 (Dup15q). Генетическая аномалия сопровождается тяжелыми двигательными нарушениями, задержкой психомоторного развития и эпилепсией.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B745B">
        <w:rPr>
          <w:rFonts w:ascii="Calibri" w:hAnsi="Calibri" w:cs="Calibri"/>
          <w:sz w:val="24"/>
          <w:szCs w:val="24"/>
          <w:shd w:val="clear" w:color="auto" w:fill="FFFFFF"/>
        </w:rPr>
        <w:t>Обновлен российский перечень редких (</w:t>
      </w:r>
      <w:proofErr w:type="spellStart"/>
      <w:r w:rsidRPr="003B745B">
        <w:rPr>
          <w:rFonts w:ascii="Calibri" w:hAnsi="Calibri" w:cs="Calibri"/>
          <w:sz w:val="24"/>
          <w:szCs w:val="24"/>
          <w:shd w:val="clear" w:color="auto" w:fill="FFFFFF"/>
        </w:rPr>
        <w:t>орфанных</w:t>
      </w:r>
      <w:proofErr w:type="spellEnd"/>
      <w:r w:rsidRPr="003B745B">
        <w:rPr>
          <w:rFonts w:ascii="Calibri" w:hAnsi="Calibri" w:cs="Calibri"/>
          <w:sz w:val="24"/>
          <w:szCs w:val="24"/>
          <w:shd w:val="clear" w:color="auto" w:fill="FFFFFF"/>
        </w:rPr>
        <w:t>) заболеваний. Минздрав РФ </w:t>
      </w:r>
      <w:hyperlink r:id="rId22" w:tgtFrame="_blank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расширил</w:t>
        </w:r>
      </w:hyperlink>
      <w:r w:rsidRPr="003B745B">
        <w:rPr>
          <w:rFonts w:ascii="Calibri" w:hAnsi="Calibri" w:cs="Calibri"/>
          <w:sz w:val="24"/>
          <w:szCs w:val="24"/>
          <w:shd w:val="clear" w:color="auto" w:fill="FFFFFF"/>
        </w:rPr>
        <w:t xml:space="preserve"> список с 304 нозологий до 305 за счет включения синдрома дупликации </w:t>
      </w:r>
      <w:r w:rsidRPr="003B745B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хромосомы 15q11.2-13.1 (синдром Dup15q). Измененный документ опубликован на сайте министерства.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Синдром Dup15q — тяжелое генетическое нарушение, возникающее вследствие появления лишней копии участка длинного плеча 15-й хромосомы. В клинической практике патология чаще встречается или в форме изодицентрической хромосомы 15 (</w:t>
      </w:r>
      <w:proofErr w:type="spellStart"/>
      <w:proofErr w:type="gramStart"/>
      <w:r w:rsidRPr="003B745B">
        <w:rPr>
          <w:rFonts w:ascii="Calibri" w:hAnsi="Calibri" w:cs="Calibri"/>
          <w:sz w:val="24"/>
          <w:szCs w:val="24"/>
        </w:rPr>
        <w:t>idic</w:t>
      </w:r>
      <w:proofErr w:type="spellEnd"/>
      <w:r w:rsidRPr="003B745B">
        <w:rPr>
          <w:rFonts w:ascii="Calibri" w:hAnsi="Calibri" w:cs="Calibri"/>
          <w:sz w:val="24"/>
          <w:szCs w:val="24"/>
        </w:rPr>
        <w:t>(</w:t>
      </w:r>
      <w:proofErr w:type="gramEnd"/>
      <w:r w:rsidRPr="003B745B">
        <w:rPr>
          <w:rFonts w:ascii="Calibri" w:hAnsi="Calibri" w:cs="Calibri"/>
          <w:sz w:val="24"/>
          <w:szCs w:val="24"/>
        </w:rPr>
        <w:t>15)) (наблюдается примерно в 80% случаев), или в интерстициальной дупликации (</w:t>
      </w:r>
      <w:proofErr w:type="spellStart"/>
      <w:r w:rsidRPr="003B745B">
        <w:rPr>
          <w:rFonts w:ascii="Calibri" w:hAnsi="Calibri" w:cs="Calibri"/>
          <w:sz w:val="24"/>
          <w:szCs w:val="24"/>
        </w:rPr>
        <w:t>int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B745B">
        <w:rPr>
          <w:rFonts w:ascii="Calibri" w:hAnsi="Calibri" w:cs="Calibri"/>
          <w:sz w:val="24"/>
          <w:szCs w:val="24"/>
        </w:rPr>
        <w:t>dup</w:t>
      </w:r>
      <w:proofErr w:type="spellEnd"/>
      <w:r w:rsidRPr="003B745B">
        <w:rPr>
          <w:rFonts w:ascii="Calibri" w:hAnsi="Calibri" w:cs="Calibri"/>
          <w:sz w:val="24"/>
          <w:szCs w:val="24"/>
        </w:rPr>
        <w:t>(15)).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В первом случае образуется аномальная хромосома с двумя </w:t>
      </w:r>
      <w:proofErr w:type="spellStart"/>
      <w:r w:rsidRPr="003B745B">
        <w:rPr>
          <w:rFonts w:ascii="Calibri" w:hAnsi="Calibri" w:cs="Calibri"/>
          <w:sz w:val="24"/>
          <w:szCs w:val="24"/>
        </w:rPr>
        <w:t>центромерами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и зеркальными копиями сегмента 15q11-q13, что приводит к наличию четырех копий данного участка в клетках. При интерстициальной дупликации дополнительный фрагмент встраивается непосредственно в одну из хромосом пары, образуя три копии сегмента.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B745B">
        <w:rPr>
          <w:rFonts w:ascii="Calibri" w:hAnsi="Calibri" w:cs="Calibri"/>
          <w:sz w:val="24"/>
          <w:szCs w:val="24"/>
          <w:shd w:val="clear" w:color="auto" w:fill="FFFFFF"/>
        </w:rPr>
        <w:t>Тяжесть клинической картины напрямую зависит от типа аномалии, объема дуплицированного участка и родительского происхождения мутации. При наследовании по материнской линии заболевание протекает значительно тяжелее.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Для пациентов с синдромом Dup15q характерны выраженная мышечная гипотония, задержка формирования крупной и мелкой моторики, интеллектуального развития, расстройства аутистического спектра (РАС). Более чем у половины людей с синдромом дупликации 15-й хромосомы встречается эпилепсия — судороги обычно развиваются в возрасте от 6 месяцев до 9 лет, еще 15% людей с этим синдромом рождаются с косоглазием.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 конце июля Минздрав РФ </w:t>
      </w:r>
      <w:hyperlink r:id="rId23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добавил</w:t>
        </w:r>
      </w:hyperlink>
      <w:r w:rsidRPr="003B745B">
        <w:rPr>
          <w:rFonts w:ascii="Calibri" w:hAnsi="Calibri" w:cs="Calibri"/>
          <w:sz w:val="24"/>
          <w:szCs w:val="24"/>
        </w:rPr>
        <w:t xml:space="preserve"> в перечень </w:t>
      </w:r>
      <w:proofErr w:type="spellStart"/>
      <w:r w:rsidRPr="003B745B">
        <w:rPr>
          <w:rFonts w:ascii="Calibri" w:hAnsi="Calibri" w:cs="Calibri"/>
          <w:sz w:val="24"/>
          <w:szCs w:val="24"/>
        </w:rPr>
        <w:t>орфанных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нозологий синдром Рафика — редкое аутосомно-рецессивное генетическое заболевание, при котором из-за мутаций гена MAN1B1 нарушается процесс </w:t>
      </w:r>
      <w:proofErr w:type="spellStart"/>
      <w:r w:rsidRPr="003B745B">
        <w:rPr>
          <w:rFonts w:ascii="Calibri" w:hAnsi="Calibri" w:cs="Calibri"/>
          <w:sz w:val="24"/>
          <w:szCs w:val="24"/>
        </w:rPr>
        <w:t>гликозилирования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белков и липидов.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До этого министерство обновляло список </w:t>
      </w:r>
      <w:proofErr w:type="spellStart"/>
      <w:r w:rsidRPr="003B745B">
        <w:rPr>
          <w:rFonts w:ascii="Calibri" w:hAnsi="Calibri" w:cs="Calibri"/>
          <w:sz w:val="24"/>
          <w:szCs w:val="24"/>
        </w:rPr>
        <w:t>орфанных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заболеваний в июне — в него были </w:t>
      </w:r>
      <w:hyperlink r:id="rId24" w:history="1">
        <w:r w:rsidRPr="003B745B">
          <w:rPr>
            <w:rStyle w:val="a3"/>
            <w:rFonts w:ascii="Calibri" w:hAnsi="Calibri" w:cs="Calibri"/>
            <w:color w:val="E1442F"/>
            <w:sz w:val="24"/>
            <w:szCs w:val="24"/>
          </w:rPr>
          <w:t>включены</w:t>
        </w:r>
      </w:hyperlink>
      <w:r w:rsidRPr="003B745B">
        <w:rPr>
          <w:rFonts w:ascii="Calibri" w:hAnsi="Calibri" w:cs="Calibri"/>
          <w:sz w:val="24"/>
          <w:szCs w:val="24"/>
        </w:rPr>
        <w:t xml:space="preserve"> две нозологии и один дополнительный синдром в составе уже существующей группы. Речь идет о </w:t>
      </w:r>
      <w:proofErr w:type="spellStart"/>
      <w:r w:rsidRPr="003B745B">
        <w:rPr>
          <w:rFonts w:ascii="Calibri" w:hAnsi="Calibri" w:cs="Calibri"/>
          <w:sz w:val="24"/>
          <w:szCs w:val="24"/>
        </w:rPr>
        <w:t>фиброматозе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B745B">
        <w:rPr>
          <w:rFonts w:ascii="Calibri" w:hAnsi="Calibri" w:cs="Calibri"/>
          <w:sz w:val="24"/>
          <w:szCs w:val="24"/>
        </w:rPr>
        <w:t>десмоидного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типа, или агрессивном </w:t>
      </w:r>
      <w:proofErr w:type="spellStart"/>
      <w:r w:rsidRPr="003B745B">
        <w:rPr>
          <w:rFonts w:ascii="Calibri" w:hAnsi="Calibri" w:cs="Calibri"/>
          <w:sz w:val="24"/>
          <w:szCs w:val="24"/>
        </w:rPr>
        <w:t>фиброматозе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, — редкой опухоли </w:t>
      </w:r>
      <w:proofErr w:type="spellStart"/>
      <w:r w:rsidRPr="003B745B">
        <w:rPr>
          <w:rFonts w:ascii="Calibri" w:hAnsi="Calibri" w:cs="Calibri"/>
          <w:sz w:val="24"/>
          <w:szCs w:val="24"/>
        </w:rPr>
        <w:t>мезенхимального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происхождения, и синдроме </w:t>
      </w:r>
      <w:proofErr w:type="spellStart"/>
      <w:r w:rsidRPr="003B745B">
        <w:rPr>
          <w:rFonts w:ascii="Calibri" w:hAnsi="Calibri" w:cs="Calibri"/>
          <w:sz w:val="24"/>
          <w:szCs w:val="24"/>
        </w:rPr>
        <w:t>Шаафа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— Янга — редком генетическом заболевании, связанном с мутациями в гене MAGEL2 и характеризующимся задержкой психомоторного развития, мышечной гипотонией и контрактурами суставов.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Еще одно изменение в новой редакции списка </w:t>
      </w:r>
      <w:proofErr w:type="spellStart"/>
      <w:r w:rsidRPr="003B745B">
        <w:rPr>
          <w:rFonts w:ascii="Calibri" w:hAnsi="Calibri" w:cs="Calibri"/>
          <w:sz w:val="24"/>
          <w:szCs w:val="24"/>
        </w:rPr>
        <w:t>орфанных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заболеваний — в разделе болезней нервной системы позиция «Болезнь </w:t>
      </w:r>
      <w:proofErr w:type="spellStart"/>
      <w:r w:rsidRPr="003B745B">
        <w:rPr>
          <w:rFonts w:ascii="Calibri" w:hAnsi="Calibri" w:cs="Calibri"/>
          <w:sz w:val="24"/>
          <w:szCs w:val="24"/>
        </w:rPr>
        <w:t>Лафоры</w:t>
      </w:r>
      <w:proofErr w:type="spellEnd"/>
      <w:r w:rsidRPr="003B745B">
        <w:rPr>
          <w:rFonts w:ascii="Calibri" w:hAnsi="Calibri" w:cs="Calibri"/>
          <w:sz w:val="24"/>
          <w:szCs w:val="24"/>
        </w:rPr>
        <w:t>» переименована в «Эпилепсию».</w:t>
      </w:r>
    </w:p>
    <w:p w:rsidR="006A3BF6" w:rsidRPr="003B745B" w:rsidRDefault="006A3BF6" w:rsidP="003B745B">
      <w:pPr>
        <w:jc w:val="both"/>
        <w:rPr>
          <w:rFonts w:ascii="Calibri" w:hAnsi="Calibri" w:cs="Calibri"/>
          <w:sz w:val="24"/>
          <w:szCs w:val="24"/>
        </w:rPr>
      </w:pPr>
      <w:hyperlink r:id="rId25" w:history="1">
        <w:r w:rsidRPr="003B745B">
          <w:rPr>
            <w:rStyle w:val="a3"/>
            <w:rFonts w:ascii="Calibri" w:hAnsi="Calibri" w:cs="Calibri"/>
            <w:sz w:val="24"/>
            <w:szCs w:val="24"/>
          </w:rPr>
          <w:t>https://medvestnik.ru/content/news/minzdrav-rf-obnovil-reestr-orfannyh-nozologii.html</w:t>
        </w:r>
      </w:hyperlink>
    </w:p>
    <w:p w:rsidR="003B745B" w:rsidRPr="003B745B" w:rsidRDefault="003B745B" w:rsidP="003B745B">
      <w:pPr>
        <w:jc w:val="both"/>
        <w:rPr>
          <w:rFonts w:ascii="Calibri" w:hAnsi="Calibri" w:cs="Calibri"/>
          <w:sz w:val="24"/>
          <w:szCs w:val="24"/>
        </w:rPr>
      </w:pPr>
    </w:p>
    <w:p w:rsidR="003E489C" w:rsidRPr="003B745B" w:rsidRDefault="003E489C" w:rsidP="003B745B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3B745B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3E489C" w:rsidRPr="003B745B" w:rsidRDefault="003E489C" w:rsidP="003B745B">
      <w:pPr>
        <w:jc w:val="both"/>
        <w:rPr>
          <w:rFonts w:ascii="Calibri" w:hAnsi="Calibri" w:cs="Calibri"/>
          <w:b/>
          <w:sz w:val="24"/>
          <w:szCs w:val="24"/>
        </w:rPr>
      </w:pPr>
      <w:r w:rsidRPr="003B745B">
        <w:rPr>
          <w:rFonts w:ascii="Calibri" w:hAnsi="Calibri" w:cs="Calibri"/>
          <w:b/>
          <w:sz w:val="24"/>
          <w:szCs w:val="24"/>
        </w:rPr>
        <w:t>Выпуск из ординатуры по некоторым востребованным профилям остался на уровне 2024 года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В 2025 году общее число медицинских специалистов, окончивших программы ординатуры в вузах, выросло. При этом показатели выпуска по наиболее востребованным врачебным профилям, таким как терапия, анестезиология-реаниматология и неврология, остались на уровне 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lastRenderedPageBreak/>
        <w:t>предыдущего года или даже снизились.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 прошлом году общее число окончивших программы ординатуры в вузах выросло до 32,3 тыс., из них по клинической медицине — до 31,4 тыс. В 2024 году аналогичные показатели составляли 31,6 тыс. и 30,6 тыс. соответственно,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>следует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 xml:space="preserve">из ежегодного статистического сборника «Образование в цифрах: 2026», подготовленного Институтом статистических исследований и экономики знаний НИУ ВШЭ в партнерстве с Росстатом, </w:t>
      </w:r>
      <w:proofErr w:type="spellStart"/>
      <w:r w:rsidRPr="003B745B">
        <w:rPr>
          <w:rFonts w:ascii="Calibri" w:hAnsi="Calibri" w:cs="Calibri"/>
          <w:sz w:val="24"/>
          <w:szCs w:val="24"/>
        </w:rPr>
        <w:t>Минпросвещения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РФ </w:t>
      </w:r>
      <w:proofErr w:type="spellStart"/>
      <w:r w:rsidRPr="003B745B">
        <w:rPr>
          <w:rFonts w:ascii="Calibri" w:hAnsi="Calibri" w:cs="Calibri"/>
          <w:sz w:val="24"/>
          <w:szCs w:val="24"/>
        </w:rPr>
        <w:t>и Минобрнауки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РФ.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На фоне общего роста числа получивших дипломы об окончании ординатуры показатели выпуска по наиболее востребованным профилям, таким как терапия, анестезиология-реаниматология и неврология, остались на уровне прошлого года. По анестезиологии-реаниматологии такие программы окончили 1,9 тыс. медицинских специалистов, по неврологии — 1,1 тыс., по терапии — 2 тыс. При этом число получивших дипломы терапевтов оказалось меньше, чем в предыдущем отчетном году — 2,1 тыс.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То же касается обучавшихся по группе специальностей «Науки о здоровье и профилактическая медицина»: выпуск снизился с 0,7 тыс. до 0,6 тыс. человек. Незначительно выросло только число врачей-акушеров-гинекологов — с 1,4 тыс. до 1,5 тыс. и стоматологов-ортопедов — с 1,2 тыс. до 1,3 тыс. Выпуск фармацевтов также остается стабильным пятый год подряд — 0,3 тыс. Детализации по другим специальностям авторы сборника не приводят.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Общая численность ординаторов в российских вузах на конец 2025 года составляла 74 тыс., из них женщин — 51,2 тыс. В 2024 году — 71,4 тыс. и 48,7 тыс. соответственно. Выпуск специалистов с базовым высшим образованием по группе специальностей «Здравоохранение и медицинские науки» в 2025 году вырос до 51,1 тыс., со средним образованием — до 128,7 тыс. В предыдущем отчетном году аналогичные показатели составляли 49 тыс. и 99,6 тыс. соответственно.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Ранее директор Всероссийского учебно-научно-методического центра (ВУНМЦ) по непрерывному медицинскому и фармацевтическому образованию Минздрава РФ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>Александр Мирошниченко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 xml:space="preserve">заявил: несмотря на ежегодный прирост количества зачисленных в медицинские вузы и колледжи, десятки тысяч выпускников не приходят работать в отрасль и не продолжают образование. В 2025 году доля не дошедших до работы в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медорганизациях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среди окончивших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медколледжи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3B745B">
        <w:rPr>
          <w:rFonts w:ascii="Calibri" w:hAnsi="Calibri" w:cs="Calibri"/>
          <w:sz w:val="24"/>
          <w:szCs w:val="24"/>
        </w:rPr>
        <w:t>специалитет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в профильном вузе превышала треть от общего числа получивших дипломы.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По мнению директора ВУНМЦ, такие цифры могут говорить о недостаточном качестве профильного образования, в первую очередь практической подготовки. То есть молодым специалистам не хватает практических навыков, и они боятся реальной работы с пациентами. Таким образом, несмотря на то что последние годы систему здравоохранения «заливают цифрами», ожидаемого эффекта от этих мер нет.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 2026 году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>средний конкурс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 xml:space="preserve">на бюджетные места в медицинских вузах по программам </w:t>
      </w:r>
      <w:proofErr w:type="spellStart"/>
      <w:r w:rsidRPr="003B745B">
        <w:rPr>
          <w:rFonts w:ascii="Calibri" w:hAnsi="Calibri" w:cs="Calibri"/>
          <w:sz w:val="24"/>
          <w:szCs w:val="24"/>
        </w:rPr>
        <w:t>специалитета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вырос до 19 человек на место. В рамках прошлогодней приемной кампании в вузы Минздрава РФ на бюджетные места было подано 415 тыс. заявлений — на 20% больше, чем в 2024 году. На обучение по программам </w:t>
      </w:r>
      <w:proofErr w:type="spellStart"/>
      <w:r w:rsidRPr="003B745B">
        <w:rPr>
          <w:rFonts w:ascii="Calibri" w:hAnsi="Calibri" w:cs="Calibri"/>
          <w:sz w:val="24"/>
          <w:szCs w:val="24"/>
        </w:rPr>
        <w:t>специалитета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всего были зачислены </w:t>
      </w:r>
      <w:r w:rsidRPr="003B745B">
        <w:rPr>
          <w:rFonts w:ascii="Calibri" w:hAnsi="Calibri" w:cs="Calibri"/>
          <w:sz w:val="24"/>
          <w:szCs w:val="24"/>
        </w:rPr>
        <w:lastRenderedPageBreak/>
        <w:t>50 тыс. человек, в ординатуру поступили 26 тыс. На одно место в ординатуру претендовали в среднем три человека,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>писал</w:t>
      </w:r>
      <w:r w:rsidRPr="003B745B">
        <w:rPr>
          <w:rFonts w:ascii="Calibri" w:hAnsi="Calibri" w:cs="Calibri"/>
          <w:sz w:val="24"/>
          <w:szCs w:val="24"/>
          <w:lang w:val="en-US"/>
        </w:rPr>
        <w:t> </w:t>
      </w:r>
      <w:r w:rsidRPr="003B745B">
        <w:rPr>
          <w:rFonts w:ascii="Calibri" w:hAnsi="Calibri" w:cs="Calibri"/>
          <w:sz w:val="24"/>
          <w:szCs w:val="24"/>
        </w:rPr>
        <w:t>«МВ».</w:t>
      </w:r>
    </w:p>
    <w:p w:rsidR="003E489C" w:rsidRPr="003B745B" w:rsidRDefault="003E489C" w:rsidP="003B745B">
      <w:pPr>
        <w:jc w:val="both"/>
        <w:rPr>
          <w:rFonts w:ascii="Calibri" w:hAnsi="Calibri" w:cs="Calibri"/>
          <w:sz w:val="24"/>
          <w:szCs w:val="24"/>
        </w:rPr>
      </w:pPr>
      <w:hyperlink r:id="rId26" w:history="1"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https</w:t>
        </w:r>
        <w:r w:rsidRPr="003B745B">
          <w:rPr>
            <w:rStyle w:val="a3"/>
            <w:rFonts w:ascii="Calibri" w:hAnsi="Calibri" w:cs="Calibri"/>
            <w:sz w:val="24"/>
            <w:szCs w:val="24"/>
          </w:rPr>
          <w:t>://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medvestnik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.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ru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/</w:t>
        </w:r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content</w:t>
        </w:r>
        <w:r w:rsidRPr="003B745B">
          <w:rPr>
            <w:rStyle w:val="a3"/>
            <w:rFonts w:ascii="Calibri" w:hAnsi="Calibri" w:cs="Calibri"/>
            <w:sz w:val="24"/>
            <w:szCs w:val="24"/>
          </w:rPr>
          <w:t>/</w:t>
        </w:r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news</w:t>
        </w:r>
        <w:r w:rsidRPr="003B745B">
          <w:rPr>
            <w:rStyle w:val="a3"/>
            <w:rFonts w:ascii="Calibri" w:hAnsi="Calibri" w:cs="Calibri"/>
            <w:sz w:val="24"/>
            <w:szCs w:val="24"/>
          </w:rPr>
          <w:t>/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vypusk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iz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ordinatury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po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nekotorym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vostrebovannym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profilyam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ostalsya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na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urovne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-2024-</w:t>
        </w:r>
        <w:proofErr w:type="spellStart"/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goda</w:t>
        </w:r>
        <w:proofErr w:type="spellEnd"/>
        <w:r w:rsidRPr="003B745B">
          <w:rPr>
            <w:rStyle w:val="a3"/>
            <w:rFonts w:ascii="Calibri" w:hAnsi="Calibri" w:cs="Calibri"/>
            <w:sz w:val="24"/>
            <w:szCs w:val="24"/>
          </w:rPr>
          <w:t>.</w:t>
        </w:r>
        <w:r w:rsidRPr="003B745B">
          <w:rPr>
            <w:rStyle w:val="a3"/>
            <w:rFonts w:ascii="Calibri" w:hAnsi="Calibri" w:cs="Calibri"/>
            <w:sz w:val="24"/>
            <w:szCs w:val="24"/>
            <w:lang w:val="en-US"/>
          </w:rPr>
          <w:t>html</w:t>
        </w:r>
      </w:hyperlink>
    </w:p>
    <w:p w:rsidR="003E489C" w:rsidRPr="003B745B" w:rsidRDefault="003E489C" w:rsidP="003B745B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73442C" w:rsidRPr="003B745B" w:rsidRDefault="0073442C" w:rsidP="003B745B">
      <w:pPr>
        <w:jc w:val="both"/>
        <w:rPr>
          <w:rFonts w:ascii="Calibri" w:hAnsi="Calibri" w:cs="Calibri"/>
          <w:b/>
          <w:sz w:val="24"/>
          <w:szCs w:val="24"/>
        </w:rPr>
      </w:pPr>
      <w:r w:rsidRPr="003B745B">
        <w:rPr>
          <w:rFonts w:ascii="Calibri" w:hAnsi="Calibri" w:cs="Calibri"/>
          <w:b/>
          <w:sz w:val="24"/>
          <w:szCs w:val="24"/>
        </w:rPr>
        <w:t>Росздравнадзор планирует ввести новые индикаторы риска для госконтроля в области акушерства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Росздравнадзор подготовил предложения по расширению индикаторов риска, которые могут быть основанием для внеплановых проверок клиник гинекологии. Служба намерена отслеживать осложнения после абортов и применения вспомогательных репродуктивных технологий (ВРТ).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 xml:space="preserve">Росздравнадзор направил в Минздрав РФ предложения по введению новых индикаторов риска для внеплановых проверок учреждений гинекологического профиля. Планируется отслеживать случаи осложнений после абортов и процедур ВРТ — сведения о них </w:t>
      </w:r>
      <w:proofErr w:type="spellStart"/>
      <w:r w:rsidRPr="003B745B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должны подавать в государственные формы статистической отчетности, сообщила глава Росздравнадзора </w:t>
      </w:r>
      <w:hyperlink r:id="rId27" w:history="1">
        <w:r w:rsidRPr="003B745B">
          <w:rPr>
            <w:rStyle w:val="a3"/>
            <w:rFonts w:ascii="Calibri" w:hAnsi="Calibri" w:cs="Calibri"/>
            <w:sz w:val="24"/>
            <w:szCs w:val="24"/>
          </w:rPr>
          <w:t>Алла Самойлова</w:t>
        </w:r>
      </w:hyperlink>
      <w:r w:rsidRPr="003B745B">
        <w:rPr>
          <w:rFonts w:ascii="Calibri" w:hAnsi="Calibri" w:cs="Calibri"/>
          <w:sz w:val="24"/>
          <w:szCs w:val="24"/>
        </w:rPr>
        <w:t> на конференции «</w:t>
      </w:r>
      <w:proofErr w:type="spellStart"/>
      <w:r w:rsidRPr="003B745B">
        <w:rPr>
          <w:rFonts w:ascii="Calibri" w:hAnsi="Calibri" w:cs="Calibri"/>
          <w:sz w:val="24"/>
          <w:szCs w:val="24"/>
        </w:rPr>
        <w:t>Flores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B745B">
        <w:rPr>
          <w:rFonts w:ascii="Calibri" w:hAnsi="Calibri" w:cs="Calibri"/>
          <w:sz w:val="24"/>
          <w:szCs w:val="24"/>
        </w:rPr>
        <w:t>Vitae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3B745B">
        <w:rPr>
          <w:rFonts w:ascii="Calibri" w:hAnsi="Calibri" w:cs="Calibri"/>
          <w:sz w:val="24"/>
          <w:szCs w:val="24"/>
        </w:rPr>
        <w:t>Контраверсии</w:t>
      </w:r>
      <w:proofErr w:type="spellEnd"/>
      <w:r w:rsidRPr="003B745B">
        <w:rPr>
          <w:rFonts w:ascii="Calibri" w:hAnsi="Calibri" w:cs="Calibri"/>
          <w:sz w:val="24"/>
          <w:szCs w:val="24"/>
        </w:rPr>
        <w:t xml:space="preserve"> в неонатальной медицине и педиатрии» 4 сентября, передает корреспондент «МВ».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«Это в дальнейшем позволит разработать соответствующие индикаторы риска и усилить государственный контроль за безопасностью использования вспомогательных репродуктивных технологий. В данный момент, когда мы выходим на проверку по индикатору риска, мы практически в обязательном порядке находим те или иные нарушения», — рассказала </w:t>
      </w:r>
      <w:hyperlink r:id="rId28" w:history="1">
        <w:r w:rsidRPr="003B745B">
          <w:rPr>
            <w:rStyle w:val="a3"/>
            <w:rFonts w:ascii="Calibri" w:hAnsi="Calibri" w:cs="Calibri"/>
            <w:sz w:val="24"/>
            <w:szCs w:val="24"/>
          </w:rPr>
          <w:t>Алла Самойлова</w:t>
        </w:r>
      </w:hyperlink>
      <w:r w:rsidRPr="003B745B">
        <w:rPr>
          <w:rFonts w:ascii="Calibri" w:hAnsi="Calibri" w:cs="Calibri"/>
          <w:sz w:val="24"/>
          <w:szCs w:val="24"/>
        </w:rPr>
        <w:t>.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По ее словам, с начала года представители надзорной службы совершили 104 профилактических визита и провели 15 внеплановых контрольно-надзорных мероприятий в организациях акушерско-гинекологического профиля. В план до конца текущего года включено проведение еще 33.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Ранее в Росздравнадзоре </w:t>
      </w:r>
      <w:hyperlink r:id="rId29" w:history="1">
        <w:r w:rsidRPr="003B745B">
          <w:rPr>
            <w:rStyle w:val="a3"/>
            <w:rFonts w:ascii="Calibri" w:hAnsi="Calibri" w:cs="Calibri"/>
            <w:sz w:val="24"/>
            <w:szCs w:val="24"/>
          </w:rPr>
          <w:t>предложили</w:t>
        </w:r>
      </w:hyperlink>
      <w:r w:rsidRPr="003B745B">
        <w:rPr>
          <w:rFonts w:ascii="Calibri" w:hAnsi="Calibri" w:cs="Calibri"/>
          <w:sz w:val="24"/>
          <w:szCs w:val="24"/>
        </w:rPr>
        <w:t> участникам рынка активнее отслеживать нарушения и не бояться самостоятельно инициировать «профилактические визиты». Более частые проверки частных роддомов и клиник вспомогательных репродуктивных технологий с этого года связаны с повышенным вниманием государства к вопросам демографии.</w:t>
      </w:r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  <w:r w:rsidRPr="003B745B">
        <w:rPr>
          <w:rFonts w:ascii="Calibri" w:hAnsi="Calibri" w:cs="Calibri"/>
          <w:sz w:val="24"/>
          <w:szCs w:val="24"/>
        </w:rPr>
        <w:t>В начале года </w:t>
      </w:r>
      <w:hyperlink r:id="rId30" w:history="1">
        <w:r w:rsidRPr="003B745B">
          <w:rPr>
            <w:rStyle w:val="a3"/>
            <w:rFonts w:ascii="Calibri" w:hAnsi="Calibri" w:cs="Calibri"/>
            <w:sz w:val="24"/>
            <w:szCs w:val="24"/>
          </w:rPr>
          <w:t>Алла Самойлова</w:t>
        </w:r>
      </w:hyperlink>
      <w:r w:rsidRPr="003B745B">
        <w:rPr>
          <w:rFonts w:ascii="Calibri" w:hAnsi="Calibri" w:cs="Calibri"/>
          <w:sz w:val="24"/>
          <w:szCs w:val="24"/>
        </w:rPr>
        <w:t> </w:t>
      </w:r>
      <w:hyperlink r:id="rId31" w:history="1">
        <w:r w:rsidRPr="003B745B">
          <w:rPr>
            <w:rStyle w:val="a3"/>
            <w:rFonts w:ascii="Calibri" w:hAnsi="Calibri" w:cs="Calibri"/>
            <w:sz w:val="24"/>
            <w:szCs w:val="24"/>
          </w:rPr>
          <w:t>сообщила</w:t>
        </w:r>
      </w:hyperlink>
      <w:r w:rsidRPr="003B745B">
        <w:rPr>
          <w:rFonts w:ascii="Calibri" w:hAnsi="Calibri" w:cs="Calibri"/>
          <w:sz w:val="24"/>
          <w:szCs w:val="24"/>
        </w:rPr>
        <w:t> о значимом увеличении частоты плановых проверок роддомов и клиник вспомогательных репродуктивных технологий. По времени это заявление совпало со случаем </w:t>
      </w:r>
      <w:hyperlink r:id="rId32" w:history="1">
        <w:r w:rsidRPr="003B745B">
          <w:rPr>
            <w:rStyle w:val="a3"/>
            <w:rFonts w:ascii="Calibri" w:hAnsi="Calibri" w:cs="Calibri"/>
            <w:sz w:val="24"/>
            <w:szCs w:val="24"/>
          </w:rPr>
          <w:t>массовой гибели</w:t>
        </w:r>
      </w:hyperlink>
      <w:r w:rsidRPr="003B745B">
        <w:rPr>
          <w:rFonts w:ascii="Calibri" w:hAnsi="Calibri" w:cs="Calibri"/>
          <w:sz w:val="24"/>
          <w:szCs w:val="24"/>
        </w:rPr>
        <w:t> новорожденных в Новокузнецком роддоме № 1. В регионе были возбуждены уголовные дела по статьям о халатности и причинении смерти по неосторожности.</w:t>
      </w:r>
    </w:p>
    <w:p w:rsidR="0073442C" w:rsidRPr="003B745B" w:rsidRDefault="00286D60" w:rsidP="003B745B">
      <w:pPr>
        <w:jc w:val="both"/>
        <w:rPr>
          <w:rFonts w:ascii="Calibri" w:hAnsi="Calibri" w:cs="Calibri"/>
          <w:sz w:val="24"/>
          <w:szCs w:val="24"/>
        </w:rPr>
      </w:pPr>
      <w:hyperlink r:id="rId33" w:history="1">
        <w:r w:rsidR="0073442C" w:rsidRPr="003B745B">
          <w:rPr>
            <w:rStyle w:val="a3"/>
            <w:rFonts w:ascii="Calibri" w:hAnsi="Calibri" w:cs="Calibri"/>
            <w:sz w:val="24"/>
            <w:szCs w:val="24"/>
          </w:rPr>
          <w:t>https://medvestnik.ru/content/news/roszdravnadzor-planiruet-vvesti-indikatory-riska-dlya-goskontrolya-v-oblasti-akusherstva.html</w:t>
        </w:r>
      </w:hyperlink>
    </w:p>
    <w:p w:rsidR="0073442C" w:rsidRPr="003B745B" w:rsidRDefault="0073442C" w:rsidP="003B745B">
      <w:pPr>
        <w:jc w:val="both"/>
        <w:rPr>
          <w:rFonts w:ascii="Calibri" w:hAnsi="Calibri" w:cs="Calibri"/>
          <w:sz w:val="24"/>
          <w:szCs w:val="24"/>
        </w:rPr>
      </w:pPr>
    </w:p>
    <w:p w:rsidR="007B4D42" w:rsidRPr="003B745B" w:rsidRDefault="007B4D42" w:rsidP="003B745B">
      <w:pPr>
        <w:jc w:val="both"/>
        <w:rPr>
          <w:rFonts w:ascii="Calibri" w:hAnsi="Calibri" w:cs="Calibri"/>
          <w:sz w:val="24"/>
          <w:szCs w:val="24"/>
        </w:rPr>
      </w:pPr>
    </w:p>
    <w:sectPr w:rsidR="007B4D42" w:rsidRPr="003B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F3C34"/>
    <w:multiLevelType w:val="hybridMultilevel"/>
    <w:tmpl w:val="C014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71D3D"/>
    <w:multiLevelType w:val="multilevel"/>
    <w:tmpl w:val="C792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E5606"/>
    <w:multiLevelType w:val="hybridMultilevel"/>
    <w:tmpl w:val="BF50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B1080"/>
    <w:multiLevelType w:val="multilevel"/>
    <w:tmpl w:val="7BBC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903A81"/>
    <w:multiLevelType w:val="hybridMultilevel"/>
    <w:tmpl w:val="2D36E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42"/>
    <w:rsid w:val="0019667E"/>
    <w:rsid w:val="001A1E30"/>
    <w:rsid w:val="002225D8"/>
    <w:rsid w:val="00286D60"/>
    <w:rsid w:val="003B745B"/>
    <w:rsid w:val="003E489C"/>
    <w:rsid w:val="0047263E"/>
    <w:rsid w:val="004A7BC7"/>
    <w:rsid w:val="005840FD"/>
    <w:rsid w:val="005A7822"/>
    <w:rsid w:val="006149A7"/>
    <w:rsid w:val="00627C0E"/>
    <w:rsid w:val="006A3BF6"/>
    <w:rsid w:val="007228D0"/>
    <w:rsid w:val="0073442C"/>
    <w:rsid w:val="007B4D42"/>
    <w:rsid w:val="007D7A9B"/>
    <w:rsid w:val="00851C68"/>
    <w:rsid w:val="00986A2F"/>
    <w:rsid w:val="00A8533F"/>
    <w:rsid w:val="00AC12A3"/>
    <w:rsid w:val="00C313FD"/>
    <w:rsid w:val="00C4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F989"/>
  <w15:chartTrackingRefBased/>
  <w15:docId w15:val="{4D32CE53-15D8-4513-AD37-3472E5D2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6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D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8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D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D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7B4D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7B4D42"/>
  </w:style>
  <w:style w:type="character" w:customStyle="1" w:styleId="name">
    <w:name w:val="name"/>
    <w:basedOn w:val="a0"/>
    <w:rsid w:val="007B4D42"/>
  </w:style>
  <w:style w:type="character" w:customStyle="1" w:styleId="surname">
    <w:name w:val="surname"/>
    <w:basedOn w:val="a0"/>
    <w:rsid w:val="007B4D42"/>
  </w:style>
  <w:style w:type="character" w:styleId="a5">
    <w:name w:val="Strong"/>
    <w:basedOn w:val="a0"/>
    <w:uiPriority w:val="22"/>
    <w:qFormat/>
    <w:rsid w:val="007B4D42"/>
    <w:rPr>
      <w:b/>
      <w:bCs/>
    </w:rPr>
  </w:style>
  <w:style w:type="paragraph" w:styleId="a6">
    <w:name w:val="List Paragraph"/>
    <w:basedOn w:val="a"/>
    <w:uiPriority w:val="34"/>
    <w:qFormat/>
    <w:rsid w:val="0073442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966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ead">
    <w:name w:val="lead"/>
    <w:basedOn w:val="a"/>
    <w:rsid w:val="005A7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78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7">
    <w:name w:val="FollowedHyperlink"/>
    <w:basedOn w:val="a0"/>
    <w:uiPriority w:val="99"/>
    <w:semiHidden/>
    <w:unhideWhenUsed/>
    <w:rsid w:val="00986A2F"/>
    <w:rPr>
      <w:color w:val="954F72" w:themeColor="followedHyperlink"/>
      <w:u w:val="single"/>
    </w:rPr>
  </w:style>
  <w:style w:type="paragraph" w:customStyle="1" w:styleId="paragraphparagraph2ficb">
    <w:name w:val="paragraph_paragraph__2ficb"/>
    <w:basedOn w:val="a"/>
    <w:rsid w:val="0098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288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9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85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9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1183">
                  <w:marLeft w:val="0"/>
                  <w:marRight w:val="0"/>
                  <w:marTop w:val="0"/>
                  <w:marBottom w:val="0"/>
                  <w:divBdr>
                    <w:top w:val="single" w:sz="4" w:space="0" w:color="E5E5E5"/>
                    <w:left w:val="none" w:sz="0" w:space="0" w:color="auto"/>
                    <w:bottom w:val="single" w:sz="4" w:space="0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9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96710">
                  <w:marLeft w:val="0"/>
                  <w:marRight w:val="0"/>
                  <w:marTop w:val="0"/>
                  <w:marBottom w:val="0"/>
                  <w:divBdr>
                    <w:top w:val="single" w:sz="4" w:space="0" w:color="E5E5E5"/>
                    <w:left w:val="none" w:sz="0" w:space="0" w:color="auto"/>
                    <w:bottom w:val="single" w:sz="4" w:space="0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1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78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5563">
                  <w:marLeft w:val="0"/>
                  <w:marRight w:val="0"/>
                  <w:marTop w:val="0"/>
                  <w:marBottom w:val="0"/>
                  <w:divBdr>
                    <w:top w:val="single" w:sz="4" w:space="0" w:color="E5E5E5"/>
                    <w:left w:val="none" w:sz="0" w:space="0" w:color="auto"/>
                    <w:bottom w:val="single" w:sz="4" w:space="0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258">
              <w:marLeft w:val="0"/>
              <w:marRight w:val="0"/>
              <w:marTop w:val="18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7500">
          <w:blockQuote w:val="1"/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5243">
                  <w:marLeft w:val="0"/>
                  <w:marRight w:val="0"/>
                  <w:marTop w:val="0"/>
                  <w:marBottom w:val="0"/>
                  <w:divBdr>
                    <w:top w:val="single" w:sz="4" w:space="0" w:color="E5E5E5"/>
                    <w:left w:val="none" w:sz="0" w:space="0" w:color="auto"/>
                    <w:bottom w:val="single" w:sz="4" w:space="0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34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298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0963">
          <w:blockQuote w:val="1"/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3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48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44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1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8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91345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3206&amp;dst=100030&amp;demo=1" TargetMode="External"/><Relationship Id="rId18" Type="http://schemas.openxmlformats.org/officeDocument/2006/relationships/hyperlink" Target="https://login.consultant.ru/link/?req=doc&amp;base=LAW&amp;n=543206&amp;dst=100023&amp;demo=1" TargetMode="External"/><Relationship Id="rId26" Type="http://schemas.openxmlformats.org/officeDocument/2006/relationships/hyperlink" Target="https://medvestnik.ru/content/news/vypusk-iz-ordinatury-po-nekotorym-vostrebovannym-profilyam-ostalsya-na-urovne-2024-god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legalnews/32454/?utm_source=yxnews&amp;utm_medium=desktop&amp;utm_referrer=https%3A%2F%2Fdzen.ru%2Fnews%2Fsearch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dvestnik.ru/content/documents/166n-ot-05-03-2026.html" TargetMode="External"/><Relationship Id="rId12" Type="http://schemas.openxmlformats.org/officeDocument/2006/relationships/hyperlink" Target="https://login.consultant.ru/link/?req=doc&amp;base=LAW&amp;n=543206&amp;dst=100027&amp;demo=1" TargetMode="External"/><Relationship Id="rId17" Type="http://schemas.openxmlformats.org/officeDocument/2006/relationships/hyperlink" Target="https://login.consultant.ru/link/?req=doc&amp;base=LAW&amp;n=543206&amp;dst=100022&amp;demo=1" TargetMode="External"/><Relationship Id="rId25" Type="http://schemas.openxmlformats.org/officeDocument/2006/relationships/hyperlink" Target="https://medvestnik.ru/content/news/minzdrav-rf-obnovil-reestr-orfannyh-nozologii.html" TargetMode="External"/><Relationship Id="rId33" Type="http://schemas.openxmlformats.org/officeDocument/2006/relationships/hyperlink" Target="https://medvestnik.ru/content/news/roszdravnadzor-planiruet-vvesti-indikatory-riska-dlya-goskontrolya-v-oblasti-akusherstv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3206&amp;dst=100021&amp;demo=1" TargetMode="External"/><Relationship Id="rId20" Type="http://schemas.openxmlformats.org/officeDocument/2006/relationships/hyperlink" Target="https://login.consultant.ru/link/?req=doc&amp;base=LAW&amp;n=543206&amp;dst=100003&amp;demo=1" TargetMode="External"/><Relationship Id="rId29" Type="http://schemas.openxmlformats.org/officeDocument/2006/relationships/hyperlink" Target="https://medvestnik.ru/content/news/zamglavy-roszdravnadzora-obyasnila-uchastivshiesya-proverki-chastnyh-roddomov-i-klinik-vr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vestnik.ru/content/news/prezident-rf-podpisal-zakon-ob-obyazatelnyh-otrabotkah-vrachei-i-medsester.html" TargetMode="External"/><Relationship Id="rId11" Type="http://schemas.openxmlformats.org/officeDocument/2006/relationships/hyperlink" Target="https://medvestnik.ru/content/news/minzdrav-rf-rasprostranil-metodichku-s-voprosami-i-otvetami-o-nastavnichestve.html" TargetMode="External"/><Relationship Id="rId24" Type="http://schemas.openxmlformats.org/officeDocument/2006/relationships/hyperlink" Target="https://medvestnik.ru/content/news/v-perechen-orfannyh-zabolevanii-vkluchili-dve-novye-nozologii-i-sindrom.html" TargetMode="External"/><Relationship Id="rId32" Type="http://schemas.openxmlformats.org/officeDocument/2006/relationships/hyperlink" Target="https://medvestnik.ru/content/news/rabotu-roddoma-1-v-novokuznecke-priostanovili-na-90-sutok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43206&amp;dst=100032&amp;demo=1" TargetMode="External"/><Relationship Id="rId23" Type="http://schemas.openxmlformats.org/officeDocument/2006/relationships/hyperlink" Target="https://medvestnik.ru/content/news/minzdrav-rf-dobavil-v-perechen-orfannyh-zabolevanii-sindrom-rafika.html" TargetMode="External"/><Relationship Id="rId28" Type="http://schemas.openxmlformats.org/officeDocument/2006/relationships/hyperlink" Target="https://medvestnik.ru/directory/persons/Samoilova-Anna-Vladimirovna.html" TargetMode="External"/><Relationship Id="rId10" Type="http://schemas.openxmlformats.org/officeDocument/2006/relationships/hyperlink" Target="https://medvestnik.ru/content/news/vladimir-putin-prizval-ne-peregrujat-vrachei-nastavnikov.html" TargetMode="External"/><Relationship Id="rId19" Type="http://schemas.openxmlformats.org/officeDocument/2006/relationships/hyperlink" Target="https://login.consultant.ru/link/?req=doc&amp;base=LAW&amp;n=543206&amp;dst=100025&amp;demo=1" TargetMode="External"/><Relationship Id="rId31" Type="http://schemas.openxmlformats.org/officeDocument/2006/relationships/hyperlink" Target="https://medvestnik.ru/content/news/roszdravnadzor-uvelichit-chastotu-proverok-roddomov-posle-chp-v-novokuzneck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news/regiony-nachali-predlagat-vypusknikam-medvuzov-kliniki-dlya-prohojdeniya-nastavnichestva.html" TargetMode="External"/><Relationship Id="rId14" Type="http://schemas.openxmlformats.org/officeDocument/2006/relationships/hyperlink" Target="https://login.consultant.ru/link/?req=doc&amp;base=LAW&amp;n=543206&amp;dst=100031&amp;demo=1" TargetMode="External"/><Relationship Id="rId22" Type="http://schemas.openxmlformats.org/officeDocument/2006/relationships/hyperlink" Target="https://minzdrav.gov.ru/documents/9889-perechen-redkih-orfannyh-zabolevaniy" TargetMode="External"/><Relationship Id="rId27" Type="http://schemas.openxmlformats.org/officeDocument/2006/relationships/hyperlink" Target="https://medvestnik.ru/directory/persons/Samoilova-Anna-Vladimirovna.html" TargetMode="External"/><Relationship Id="rId30" Type="http://schemas.openxmlformats.org/officeDocument/2006/relationships/hyperlink" Target="https://medvestnik.ru/directory/persons/Samoilova-Anna-Vladimirovna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edvestnik.ru/content/documents/167n-ot-05-03-20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2754</Words>
  <Characters>18926</Characters>
  <Application>Microsoft Office Word</Application>
  <DocSecurity>0</DocSecurity>
  <Lines>326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</cp:revision>
  <dcterms:created xsi:type="dcterms:W3CDTF">2026-09-07T12:55:00Z</dcterms:created>
  <dcterms:modified xsi:type="dcterms:W3CDTF">2026-09-07T12:55:00Z</dcterms:modified>
</cp:coreProperties>
</file>